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120" w:after="0"/>
        <w:jc w:val="center"/>
        <w:rPr/>
      </w:pPr>
      <w:bookmarkStart w:id="0" w:name="tsha-20221231.htm"/>
      <w:bookmarkStart w:id="1" w:name="kstsha20221231"/>
      <w:bookmarkEnd w:id="0"/>
      <w:bookmarkEnd w:id="1"/>
      <w:r>
        <w:rPr/>
        <w:t> </w:t>
      </w:r>
    </w:p>
    <w:p>
      <w:pPr>
        <w:pStyle w:val="TextBody"/>
        <w:spacing w:before="60" w:after="0"/>
        <w:jc w:val="center"/>
        <w:rPr>
          <w:rFonts w:ascii="Times New Roman;serif" w:hAnsi="Times New Roman;serif"/>
          <w:b w:val="false"/>
          <w:sz w:val="32"/>
        </w:rPr>
      </w:pPr>
      <w:r>
        <w:rPr>
          <w:rFonts w:ascii="Times New Roman;serif" w:hAnsi="Times New Roman;serif"/>
          <w:b w:val="false"/>
          <w:sz w:val="32"/>
        </w:rPr>
        <w:t>UNITED STATES</w:t>
      </w:r>
    </w:p>
    <w:p>
      <w:pPr>
        <w:pStyle w:val="TextBody"/>
        <w:spacing w:before="0" w:after="0"/>
        <w:jc w:val="center"/>
        <w:rPr>
          <w:rFonts w:ascii="Times New Roman;serif" w:hAnsi="Times New Roman;serif"/>
          <w:b w:val="false"/>
          <w:sz w:val="32"/>
        </w:rPr>
      </w:pPr>
      <w:r>
        <w:rPr>
          <w:rFonts w:ascii="Times New Roman;serif" w:hAnsi="Times New Roman;serif"/>
          <w:b w:val="false"/>
          <w:sz w:val="32"/>
        </w:rPr>
        <w:t>SECURITIES AND EXCHANGE COMMISSION</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WASHINGTON, DC 20549</w:t>
      </w:r>
    </w:p>
    <w:p>
      <w:pPr>
        <w:pStyle w:val="TextBody"/>
        <w:pBdr>
          <w:bottom w:val="single" w:sz="4" w:space="1" w:color="000000"/>
        </w:pBdr>
        <w:spacing w:before="60" w:after="60"/>
        <w:jc w:val="center"/>
        <w:rPr/>
      </w:pPr>
      <w:r>
        <w:rPr/>
        <w:t> </w:t>
      </w:r>
    </w:p>
    <w:p>
      <w:pPr>
        <w:pStyle w:val="TextBody"/>
        <w:spacing w:before="0" w:after="0"/>
        <w:jc w:val="center"/>
        <w:rPr>
          <w:rFonts w:ascii="Times New Roman;serif" w:hAnsi="Times New Roman;serif"/>
          <w:b w:val="false"/>
          <w:sz w:val="32"/>
        </w:rPr>
      </w:pPr>
      <w:r>
        <w:rPr>
          <w:rFonts w:ascii="Times New Roman;serif" w:hAnsi="Times New Roman;serif"/>
          <w:b w:val="false"/>
          <w:sz w:val="32"/>
        </w:rPr>
        <w:t>FORM 10-K</w:t>
      </w:r>
    </w:p>
    <w:p>
      <w:pPr>
        <w:pStyle w:val="TextBody"/>
        <w:pBdr>
          <w:bottom w:val="single" w:sz="4" w:space="1" w:color="000000"/>
        </w:pBdr>
        <w:spacing w:before="60" w:after="60"/>
        <w:jc w:val="center"/>
        <w:rPr/>
      </w:pPr>
      <w:r>
        <w:rPr/>
        <w:t>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(Mark One)</w:t>
      </w:r>
    </w:p>
    <w:p>
      <w:pPr>
        <w:pStyle w:val="TextBody"/>
        <w:spacing w:before="0" w:after="0"/>
        <w:jc w:val="left"/>
        <w:rPr/>
      </w:pPr>
      <w:r>
        <w:rPr/>
        <w:t> </w:t>
      </w:r>
    </w:p>
    <w:tbl>
      <w:tblPr>
        <w:tblW w:w="8342" w:type="dxa"/>
        <w:jc w:val="left"/>
        <w:tblInd w:w="0" w:type="dxa"/>
        <w:tblCellMar>
          <w:top w:w="28" w:type="dxa"/>
          <w:left w:w="28" w:type="dxa"/>
          <w:bottom w:w="28" w:type="dxa"/>
          <w:right w:w="28" w:type="dxa"/>
        </w:tblCellMar>
      </w:tblPr>
      <w:tblGrid>
        <w:gridCol w:w="331"/>
        <w:gridCol w:w="8011"/>
      </w:tblGrid>
      <w:tr>
        <w:trPr/>
        <w:tc>
          <w:tcPr>
            <w:tcW w:w="331" w:type="dxa"/>
            <w:tcBorders/>
            <w:shd w:fill="auto" w:val="clear"/>
            <w:vAlign w:val="center"/>
          </w:tcPr>
          <w:p>
            <w:pPr>
              <w:pStyle w:val="TableContents"/>
              <w:spacing w:before="0" w:after="283"/>
              <w:rPr>
                <w:sz w:val="4"/>
                <w:szCs w:val="4"/>
              </w:rPr>
            </w:pPr>
            <w:r>
              <w:rPr>
                <w:sz w:val="4"/>
                <w:szCs w:val="4"/>
              </w:rPr>
            </w:r>
          </w:p>
        </w:tc>
        <w:tc>
          <w:tcPr>
            <w:tcW w:w="801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80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ANNUAL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For the fiscal year ended December 31, 2022</w:t>
      </w:r>
    </w:p>
    <w:p>
      <w:pPr>
        <w:pStyle w:val="TextBody"/>
        <w:spacing w:before="60" w:after="0"/>
        <w:jc w:val="center"/>
        <w:rPr>
          <w:rFonts w:ascii="Times New Roman;serif" w:hAnsi="Times New Roman;serif"/>
          <w:b w:val="false"/>
          <w:sz w:val="20"/>
        </w:rPr>
      </w:pPr>
      <w:r>
        <w:rPr>
          <w:rFonts w:ascii="Times New Roman;serif" w:hAnsi="Times New Roman;serif"/>
          <w:b w:val="false"/>
          <w:sz w:val="20"/>
        </w:rPr>
        <w:t>OR</w:t>
      </w:r>
    </w:p>
    <w:p>
      <w:pPr>
        <w:pStyle w:val="TextBody"/>
        <w:spacing w:before="0" w:after="0"/>
        <w:jc w:val="left"/>
        <w:rPr/>
      </w:pPr>
      <w:r>
        <w:rPr/>
        <w:t> </w:t>
      </w:r>
    </w:p>
    <w:tbl>
      <w:tblPr>
        <w:tblW w:w="8642" w:type="dxa"/>
        <w:jc w:val="left"/>
        <w:tblInd w:w="0" w:type="dxa"/>
        <w:tblCellMar>
          <w:top w:w="28" w:type="dxa"/>
          <w:left w:w="28" w:type="dxa"/>
          <w:bottom w:w="28" w:type="dxa"/>
          <w:right w:w="28" w:type="dxa"/>
        </w:tblCellMar>
      </w:tblPr>
      <w:tblGrid>
        <w:gridCol w:w="331"/>
        <w:gridCol w:w="8311"/>
      </w:tblGrid>
      <w:tr>
        <w:trPr/>
        <w:tc>
          <w:tcPr>
            <w:tcW w:w="331" w:type="dxa"/>
            <w:tcBorders/>
            <w:shd w:fill="auto" w:val="clear"/>
            <w:vAlign w:val="center"/>
          </w:tcPr>
          <w:p>
            <w:pPr>
              <w:pStyle w:val="TableContents"/>
              <w:spacing w:before="0" w:after="283"/>
              <w:rPr>
                <w:sz w:val="4"/>
                <w:szCs w:val="4"/>
              </w:rPr>
            </w:pPr>
            <w:r>
              <w:rPr>
                <w:sz w:val="4"/>
                <w:szCs w:val="4"/>
              </w:rPr>
            </w:r>
          </w:p>
        </w:tc>
        <w:tc>
          <w:tcPr>
            <w:tcW w:w="831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8311"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serif" w:hAnsi="Times New Roman;serif"/>
                <w:b w:val="false"/>
                <w:sz w:val="16"/>
              </w:rPr>
            </w:pPr>
            <w:r>
              <w:rPr>
                <w:rFonts w:ascii="Times New Roman;serif" w:hAnsi="Times New Roman;serif"/>
                <w:b w:val="false"/>
                <w:sz w:val="16"/>
              </w:rPr>
              <w:t>TRANSITION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For the transition period from ___________ to ___________</w:t>
      </w:r>
    </w:p>
    <w:p>
      <w:pPr>
        <w:pStyle w:val="TextBody"/>
        <w:spacing w:before="60" w:after="0"/>
        <w:jc w:val="center"/>
        <w:rPr>
          <w:rFonts w:ascii="Times New Roman;serif" w:hAnsi="Times New Roman;serif"/>
          <w:b w:val="false"/>
          <w:sz w:val="20"/>
        </w:rPr>
      </w:pPr>
      <w:r>
        <w:rPr>
          <w:rFonts w:ascii="Times New Roman;serif" w:hAnsi="Times New Roman;serif"/>
          <w:b w:val="false"/>
          <w:sz w:val="20"/>
        </w:rPr>
        <w:t>Commission File Number: 001-39536</w:t>
      </w:r>
    </w:p>
    <w:p>
      <w:pPr>
        <w:pStyle w:val="TextBody"/>
        <w:pBdr>
          <w:bottom w:val="single" w:sz="4" w:space="1" w:color="000000"/>
        </w:pBdr>
        <w:spacing w:before="0" w:after="60"/>
        <w:jc w:val="center"/>
        <w:rPr/>
      </w:pPr>
      <w:r>
        <w:rPr/>
        <w:t> </w:t>
      </w:r>
    </w:p>
    <w:p>
      <w:pPr>
        <w:pStyle w:val="TextBody"/>
        <w:spacing w:before="0" w:after="0"/>
        <w:jc w:val="center"/>
        <w:rPr>
          <w:rFonts w:ascii="Times New Roman;serif" w:hAnsi="Times New Roman;serif"/>
          <w:b w:val="false"/>
          <w:sz w:val="36"/>
        </w:rPr>
      </w:pPr>
      <w:r>
        <w:rPr>
          <w:rFonts w:ascii="Times New Roman;serif" w:hAnsi="Times New Roman;serif"/>
          <w:b w:val="false"/>
          <w:sz w:val="36"/>
        </w:rPr>
        <w:t>Taysha Gene Therapies, Inc.</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(Exact Name of Registrant as Specified in its Charter)</w:t>
      </w:r>
    </w:p>
    <w:p>
      <w:pPr>
        <w:pStyle w:val="TextBody"/>
        <w:pBdr>
          <w:bottom w:val="single" w:sz="4" w:space="1" w:color="000000"/>
        </w:pBdr>
        <w:spacing w:before="0" w:after="60"/>
        <w:jc w:val="center"/>
        <w:rPr/>
      </w:pPr>
      <w:r>
        <w:rPr/>
        <w:t> </w:t>
      </w:r>
    </w:p>
    <w:p>
      <w:pPr>
        <w:pStyle w:val="TextBody"/>
        <w:spacing w:before="0" w:after="0"/>
        <w:jc w:val="left"/>
        <w:rPr/>
      </w:pPr>
      <w:r>
        <w:rPr/>
        <w:t> </w:t>
      </w:r>
    </w:p>
    <w:tbl>
      <w:tblPr>
        <w:tblW w:w="4307" w:type="dxa"/>
        <w:jc w:val="left"/>
        <w:tblInd w:w="0" w:type="dxa"/>
        <w:tblCellMar>
          <w:top w:w="28" w:type="dxa"/>
          <w:left w:w="28" w:type="dxa"/>
          <w:bottom w:w="28" w:type="dxa"/>
          <w:right w:w="28" w:type="dxa"/>
        </w:tblCellMar>
      </w:tblPr>
      <w:tblGrid>
        <w:gridCol w:w="2866"/>
        <w:gridCol w:w="1441"/>
      </w:tblGrid>
      <w:tr>
        <w:trPr/>
        <w:tc>
          <w:tcPr>
            <w:tcW w:w="286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28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Delaware</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84-3199512</w:t>
            </w:r>
          </w:p>
        </w:tc>
      </w:tr>
      <w:tr>
        <w:trPr/>
        <w:tc>
          <w:tcPr>
            <w:tcW w:w="286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 State or other jurisdiction of</w:t>
            </w:r>
          </w:p>
          <w:p>
            <w:pPr>
              <w:pStyle w:val="TableContents"/>
              <w:spacing w:before="0" w:after="15"/>
              <w:ind w:left="0" w:right="0" w:hanging="0"/>
              <w:jc w:val="center"/>
              <w:rPr>
                <w:rFonts w:ascii="Times New Roman;serif" w:hAnsi="Times New Roman;serif"/>
                <w:b w:val="false"/>
                <w:sz w:val="16"/>
              </w:rPr>
            </w:pPr>
            <w:r>
              <w:rPr>
                <w:rFonts w:ascii="Times New Roman;serif" w:hAnsi="Times New Roman;serif"/>
                <w:b w:val="false"/>
                <w:sz w:val="16"/>
              </w:rPr>
              <w:t>incorporation or organization)</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(I.R.S. Employer</w:t>
              <w:br/>
              <w:t>Identification No.)</w:t>
            </w:r>
          </w:p>
        </w:tc>
      </w:tr>
      <w:tr>
        <w:trPr/>
        <w:tc>
          <w:tcPr>
            <w:tcW w:w="2866" w:type="dxa"/>
            <w:tcBorders/>
            <w:shd w:fill="auto" w:val="clear"/>
            <w:vAlign w:val="center"/>
          </w:tcPr>
          <w:p>
            <w:pPr>
              <w:pStyle w:val="TableContents"/>
              <w:spacing w:before="0" w:after="15"/>
              <w:ind w:left="0" w:right="0" w:hanging="0"/>
              <w:jc w:val="center"/>
              <w:rPr/>
            </w:pPr>
            <w:r>
              <w:rPr/>
              <w:t> </w:t>
            </w:r>
          </w:p>
        </w:tc>
        <w:tc>
          <w:tcPr>
            <w:tcW w:w="1441" w:type="dxa"/>
            <w:tcBorders/>
            <w:shd w:fill="auto" w:val="cle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15"/>
              <w:ind w:left="0" w:right="0" w:hanging="0"/>
              <w:jc w:val="center"/>
              <w:rPr>
                <w:rFonts w:ascii="Times New Roman;serif" w:hAnsi="Times New Roman;serif"/>
                <w:b w:val="false"/>
                <w:sz w:val="18"/>
              </w:rPr>
            </w:pPr>
            <w:r>
              <w:rPr>
                <w:rFonts w:ascii="Times New Roman;serif" w:hAnsi="Times New Roman;serif"/>
                <w:b w:val="false"/>
                <w:sz w:val="18"/>
              </w:rPr>
              <w:t>3000 Pegasus Park Dr. Ste 1430</w:t>
            </w:r>
          </w:p>
          <w:p>
            <w:pPr>
              <w:pStyle w:val="TableContents"/>
              <w:spacing w:before="0" w:after="15"/>
              <w:ind w:left="0" w:right="0" w:hanging="0"/>
              <w:jc w:val="center"/>
              <w:rPr>
                <w:rFonts w:ascii="Times New Roman" w:hAnsi="Times New Roman"/>
                <w:sz w:val="20"/>
              </w:rPr>
            </w:pPr>
            <w:r>
              <w:rPr>
                <w:rFonts w:ascii="Times New Roman;serif" w:hAnsi="Times New Roman;serif"/>
                <w:b w:val="false"/>
                <w:sz w:val="18"/>
              </w:rPr>
              <w:t>Dallas, Texas</w:t>
            </w:r>
            <w:r>
              <w:rPr>
                <w:rFonts w:ascii="Times New Roman" w:hAnsi="Times New Roman"/>
                <w:sz w:val="20"/>
              </w:rPr>
              <w:t xml:space="preserve"> </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75247</w:t>
            </w:r>
          </w:p>
        </w:tc>
      </w:tr>
      <w:tr>
        <w:trPr/>
        <w:tc>
          <w:tcPr>
            <w:tcW w:w="2866"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(Address of principal executive offices)</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(Zip Code)</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Registrant’s telephone number, including area code: (214) 612-0000</w:t>
      </w:r>
    </w:p>
    <w:p>
      <w:pPr>
        <w:pStyle w:val="TextBody"/>
        <w:pBdr>
          <w:bottom w:val="single" w:sz="4" w:space="1" w:color="000000"/>
        </w:pBdr>
        <w:spacing w:before="6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16"/>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7690" w:type="dxa"/>
        <w:jc w:val="left"/>
        <w:tblInd w:w="0" w:type="dxa"/>
        <w:tblCellMar>
          <w:top w:w="28" w:type="dxa"/>
          <w:left w:w="28" w:type="dxa"/>
          <w:bottom w:w="28" w:type="dxa"/>
          <w:right w:w="28" w:type="dxa"/>
        </w:tblCellMar>
      </w:tblPr>
      <w:tblGrid>
        <w:gridCol w:w="3346"/>
        <w:gridCol w:w="146"/>
        <w:gridCol w:w="826"/>
        <w:gridCol w:w="146"/>
        <w:gridCol w:w="3226"/>
      </w:tblGrid>
      <w:tr>
        <w:trPr/>
        <w:tc>
          <w:tcPr>
            <w:tcW w:w="3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3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Trading</w:t>
            </w:r>
          </w:p>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Name of each exchange on which registered</w:t>
            </w:r>
          </w:p>
        </w:tc>
      </w:tr>
      <w:tr>
        <w:trPr/>
        <w:tc>
          <w:tcPr>
            <w:tcW w:w="334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$0.00001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TSHA</w:t>
            </w:r>
          </w:p>
        </w:tc>
        <w:tc>
          <w:tcPr>
            <w:tcW w:w="146" w:type="dxa"/>
            <w:tcBorders/>
            <w:shd w:fill="auto" w:val="clear"/>
            <w:vAlign w:val="center"/>
          </w:tcPr>
          <w:p>
            <w:pPr>
              <w:pStyle w:val="TableContents"/>
              <w:spacing w:before="0" w:after="0"/>
              <w:ind w:left="0" w:right="0" w:hanging="0"/>
              <w:jc w:val="center"/>
              <w:rPr/>
            </w:pPr>
            <w:r>
              <w:rPr/>
              <w:t> </w:t>
            </w:r>
          </w:p>
        </w:tc>
        <w:tc>
          <w:tcPr>
            <w:tcW w:w="32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 xml:space="preserve">Indicate by check mark if the registrant is a well-known seasoned issuer, as defined in Rule 405 of the Securities Act. Yes </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Times New Roman;serif" w:hAnsi="Times New Roman;serif"/>
          <w:b w:val="false"/>
          <w:sz w:val="16"/>
        </w:rPr>
        <w:t xml:space="preserve">Indicate by check mark if the registrant is not required to file reports pursuant to Section 13 or Section 15(d) of the Act. Yes </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6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60" w:after="0"/>
        <w:jc w:val="left"/>
        <w:rPr>
          <w:rFonts w:ascii="Times New Roman" w:hAnsi="Times New Roman"/>
          <w:sz w:val="20"/>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w:t>
      </w:r>
      <w:r>
        <w:rPr>
          <w:rFonts w:ascii="Times New Roman" w:hAnsi="Times New Roman"/>
          <w:sz w:val="20"/>
        </w:rPr>
        <w:t xml:space="preserve"> “</w:t>
      </w:r>
      <w:r>
        <w:rPr>
          <w:rFonts w:ascii="Times New Roman;serif" w:hAnsi="Times New Roman;serif"/>
          <w:b w:val="false"/>
          <w:sz w:val="18"/>
        </w:rPr>
        <w:t>emerging growth company” in Rule 12b-2 of the Exchange Act.</w:t>
      </w:r>
    </w:p>
    <w:p>
      <w:pPr>
        <w:pStyle w:val="TextBody"/>
        <w:spacing w:before="0" w:after="0"/>
        <w:jc w:val="left"/>
        <w:rPr/>
      </w:pPr>
      <w:r>
        <w:rPr/>
        <w:t> </w:t>
      </w:r>
    </w:p>
    <w:tbl>
      <w:tblPr>
        <w:tblW w:w="4822" w:type="dxa"/>
        <w:jc w:val="left"/>
        <w:tblInd w:w="0" w:type="dxa"/>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8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60" w:after="0"/>
        <w:jc w:val="left"/>
        <w:rPr>
          <w:rFonts w:ascii="Times New Roman" w:hAnsi="Times New Roman"/>
          <w:sz w:val="20"/>
        </w:rPr>
      </w:pPr>
      <w:r>
        <w:rPr>
          <w:rFonts w:ascii="Times New Roman;serif" w:hAnsi="Times New Roman;serif"/>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before="0" w:after="0"/>
        <w:jc w:val="left"/>
        <w:rPr>
          <w:rFonts w:ascii="Times New Roman" w:hAnsi="Times New Roman"/>
          <w:sz w:val="20"/>
        </w:rPr>
      </w:pPr>
      <w:r>
        <w:rPr>
          <w:rFonts w:ascii="Times New Roman;serif" w:hAnsi="Times New Roman;serif"/>
          <w:b w:val="false"/>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erif" w:hAnsi="Wingdings;serif"/>
          <w:b w:val="false"/>
          <w:sz w:val="16"/>
        </w:rPr>
        <w:t>¨</w:t>
      </w:r>
    </w:p>
    <w:p>
      <w:pPr>
        <w:pStyle w:val="TextBody"/>
        <w:spacing w:before="0" w:after="0"/>
        <w:jc w:val="left"/>
        <w:rPr>
          <w:rFonts w:ascii="Times New Roman" w:hAnsi="Times New Roman"/>
          <w:sz w:val="20"/>
        </w:rPr>
      </w:pPr>
      <w:r>
        <w:rPr>
          <w:rFonts w:ascii="Times New Roman;serif" w:hAnsi="Times New Roman;serif"/>
          <w:b w:val="false"/>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erif" w:hAnsi="Wingdings;serif"/>
          <w:b w:val="false"/>
          <w:sz w:val="16"/>
        </w:rPr>
        <w:t>¨</w:t>
      </w:r>
    </w:p>
    <w:p>
      <w:pPr>
        <w:pStyle w:val="TextBody"/>
        <w:spacing w:before="6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spacing w:before="60" w:after="0"/>
        <w:jc w:val="left"/>
        <w:rPr>
          <w:rFonts w:ascii="Times New Roman;serif" w:hAnsi="Times New Roman;serif"/>
          <w:b w:val="false"/>
          <w:sz w:val="16"/>
        </w:rPr>
      </w:pPr>
      <w:r>
        <w:rPr>
          <w:rFonts w:ascii="Times New Roman;serif" w:hAnsi="Times New Roman;serif"/>
          <w:b w:val="false"/>
          <w:sz w:val="16"/>
        </w:rPr>
        <w:t>As of June 30, 2022, the aggregate market value of the common stock of the registrant held by non-affiliates was approximately: $91,978,421.</w:t>
      </w:r>
    </w:p>
    <w:p>
      <w:pPr>
        <w:pStyle w:val="TextBody"/>
        <w:spacing w:before="60" w:after="0"/>
        <w:jc w:val="left"/>
        <w:rPr>
          <w:rFonts w:ascii="Times New Roman" w:hAnsi="Times New Roman"/>
          <w:sz w:val="20"/>
        </w:rPr>
      </w:pPr>
      <w:r>
        <w:rPr>
          <w:rFonts w:ascii="Times New Roman;serif" w:hAnsi="Times New Roman;serif"/>
          <w:b w:val="false"/>
          <w:sz w:val="16"/>
        </w:rPr>
        <w:t>As of March 28, 2023, the registrant had 63,473,349</w:t>
      </w:r>
      <w:r>
        <w:rPr>
          <w:rFonts w:ascii="Times New Roman" w:hAnsi="Times New Roman"/>
          <w:sz w:val="20"/>
        </w:rPr>
        <w:t xml:space="preserve"> </w:t>
      </w:r>
      <w:r>
        <w:rPr>
          <w:rFonts w:ascii="Times New Roman;serif" w:hAnsi="Times New Roman;serif"/>
          <w:b w:val="false"/>
          <w:sz w:val="16"/>
        </w:rPr>
        <w:t>shares of common stock, $0.00001 par value per share, outstanding.</w:t>
      </w:r>
    </w:p>
    <w:p>
      <w:pPr>
        <w:pStyle w:val="TextBody"/>
        <w:spacing w:before="60" w:after="0"/>
        <w:jc w:val="center"/>
        <w:rPr/>
      </w:pPr>
      <w:r>
        <w:rPr/>
        <w:t> </w:t>
      </w:r>
    </w:p>
    <w:p>
      <w:pPr>
        <w:pStyle w:val="TextBody"/>
        <w:spacing w:before="60" w:after="0"/>
        <w:jc w:val="center"/>
        <w:rPr>
          <w:rFonts w:ascii="Times New Roman;serif" w:hAnsi="Times New Roman;serif"/>
          <w:b w:val="false"/>
          <w:sz w:val="16"/>
        </w:rPr>
      </w:pPr>
      <w:r>
        <w:rPr>
          <w:rFonts w:ascii="Times New Roman;serif" w:hAnsi="Times New Roman;serif"/>
          <w:b w:val="false"/>
          <w:sz w:val="16"/>
        </w:rPr>
        <w:t>DOCUMENTS INCORPORATED BY REFERENCE</w:t>
      </w:r>
    </w:p>
    <w:p>
      <w:pPr>
        <w:pStyle w:val="TextBody"/>
        <w:spacing w:before="60" w:after="0"/>
        <w:jc w:val="left"/>
        <w:rPr>
          <w:rFonts w:ascii="Times New Roman;serif" w:hAnsi="Times New Roman;serif"/>
          <w:b w:val="false"/>
          <w:sz w:val="16"/>
        </w:rPr>
      </w:pPr>
      <w:r>
        <w:rPr>
          <w:rFonts w:ascii="Times New Roman;serif" w:hAnsi="Times New Roman;serif"/>
          <w:b w:val="false"/>
          <w:sz w:val="16"/>
        </w:rPr>
        <w:t>Portions of the registrant’s definitive Proxy Statement relating to the 2023 Annual Meeting of Stockholders are incorporated herein by reference in Part III of this Annual Report on Form 10-K. The Proxy Statement will be filed with the Securities and Exchange Commission within 120 days after the year ended December 31, 2022.</w:t>
      </w:r>
    </w:p>
    <w:p>
      <w:pPr>
        <w:pStyle w:val="TextBody"/>
        <w:pBdr>
          <w:bottom w:val="double" w:sz="6" w:space="1" w:color="000000"/>
        </w:pBdr>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04"/>
        <w:gridCol w:w="8789"/>
        <w:gridCol w:w="512"/>
      </w:tblGrid>
      <w:tr>
        <w:trPr/>
        <w:tc>
          <w:tcPr>
            <w:tcW w:w="904" w:type="dxa"/>
            <w:tcBorders/>
            <w:shd w:fill="auto" w:val="clear"/>
            <w:vAlign w:val="center"/>
          </w:tcPr>
          <w:p>
            <w:pPr>
              <w:pStyle w:val="TableContents"/>
              <w:spacing w:before="0" w:after="283"/>
              <w:rPr>
                <w:sz w:val="4"/>
                <w:szCs w:val="4"/>
              </w:rPr>
            </w:pPr>
            <w:r>
              <w:rPr>
                <w:sz w:val="4"/>
                <w:szCs w:val="4"/>
              </w:rPr>
            </w:r>
          </w:p>
        </w:tc>
        <w:tc>
          <w:tcPr>
            <w:tcW w:w="878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904"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
              <w:r>
                <w:rPr>
                  <w:rStyle w:val="InternetLink"/>
                  <w:rFonts w:ascii="Times New Roman;serif" w:hAnsi="Times New Roman;serif"/>
                  <w:b/>
                  <w:sz w:val="20"/>
                  <w:u w:val="single"/>
                </w:rPr>
                <w:t>PART I</w:t>
              </w:r>
            </w:hyperlink>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business">
              <w:r>
                <w:rPr>
                  <w:rStyle w:val="InternetLink"/>
                  <w:rFonts w:ascii="Times New Roman;serif" w:hAnsi="Times New Roman;serif"/>
                  <w:b w:val="false"/>
                  <w:sz w:val="20"/>
                  <w:u w:val="single"/>
                </w:rPr>
                <w:t>Business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1B.</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b_unresolved_staff_comments">
              <w:r>
                <w:rPr>
                  <w:rStyle w:val="InternetLink"/>
                  <w:rFonts w:ascii="Times New Roman;serif" w:hAnsi="Times New Roman;serif"/>
                  <w:b w:val="false"/>
                  <w:sz w:val="20"/>
                  <w:u w:val="single"/>
                </w:rPr>
                <w:t>Unresolved Staff Comments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properties">
              <w:r>
                <w:rPr>
                  <w:rStyle w:val="InternetLink"/>
                  <w:rFonts w:ascii="Times New Roman;serif" w:hAnsi="Times New Roman;serif"/>
                  <w:b w:val="false"/>
                  <w:sz w:val="20"/>
                  <w:u w:val="single"/>
                </w:rPr>
                <w:t>Properties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legal_proceedings">
              <w:r>
                <w:rPr>
                  <w:rStyle w:val="InternetLink"/>
                  <w:rFonts w:ascii="Times New Roman;serif" w:hAnsi="Times New Roman;serif"/>
                  <w:b w:val="false"/>
                  <w:sz w:val="20"/>
                  <w:u w:val="single"/>
                </w:rPr>
                <w:t>Legal Proceedings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
              <w:r>
                <w:rPr>
                  <w:rStyle w:val="InternetLink"/>
                  <w:rFonts w:ascii="Times New Roman;serif" w:hAnsi="Times New Roman;serif"/>
                  <w:b/>
                  <w:sz w:val="20"/>
                  <w:u w:val="single"/>
                </w:rPr>
                <w:t>PART II</w:t>
              </w:r>
            </w:hyperlink>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market_for_registrants_common_equ">
              <w:r>
                <w:rPr>
                  <w:rStyle w:val="InternetLink"/>
                  <w:rFonts w:ascii="Times New Roman;serif" w:hAnsi="Times New Roman;serif"/>
                  <w:b w:val="false"/>
                  <w:sz w:val="20"/>
                  <w:u w:val="single"/>
                </w:rPr>
                <w:t>Market for Registrant’s Common Equity, Related Stockholder Matters and Issuer Purchases of Equity Securities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
              <w:r>
                <w:rPr>
                  <w:rStyle w:val="InternetLink"/>
                  <w:rFonts w:ascii="Times New Roman;serif" w:hAnsi="Times New Roman;serif"/>
                  <w:b w:val="false"/>
                  <w:sz w:val="20"/>
                  <w:u w:val="single"/>
                </w:rPr>
                <w:t>Reserved</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7.</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7_managements_discussion_analysis_f">
              <w:r>
                <w:rPr>
                  <w:rStyle w:val="InternetLink"/>
                  <w:rFonts w:ascii="Times New Roman;serif" w:hAnsi="Times New Roman;serif"/>
                  <w:b w:val="false"/>
                  <w:sz w:val="20"/>
                  <w:u w:val="single"/>
                </w:rPr>
                <w:t>Management’s Discussion and Analysis of Financial Condition and Results of Operation</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7A.</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7a_quantitative_qualitative_disclos">
              <w:r>
                <w:rPr>
                  <w:rStyle w:val="InternetLink"/>
                  <w:rFonts w:ascii="Times New Roman;serif" w:hAnsi="Times New Roman;serif"/>
                  <w:b w:val="false"/>
                  <w:sz w:val="20"/>
                  <w:u w:val="single"/>
                </w:rPr>
                <w:t>Quantitative and Qualitative Disclosures About Market Risk</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8.</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8_financial_statements_supplementar">
              <w:r>
                <w:rPr>
                  <w:rStyle w:val="InternetLink"/>
                  <w:rFonts w:ascii="Times New Roman;serif" w:hAnsi="Times New Roman;serif"/>
                  <w:b w:val="false"/>
                  <w:sz w:val="20"/>
                  <w:u w:val="single"/>
                </w:rPr>
                <w:t>Financial Statements and Supplementary Data</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F-1</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9_changes_in_disagreements_with_acc">
              <w:r>
                <w:rPr>
                  <w:rStyle w:val="InternetLink"/>
                  <w:rFonts w:ascii="Times New Roman;serif" w:hAnsi="Times New Roman;serif"/>
                  <w:b w:val="false"/>
                  <w:sz w:val="20"/>
                  <w:u w:val="single"/>
                </w:rPr>
                <w:t>Changes in and Disagreements With Accountants on Accounting and Financial Disclosure</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9A.</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9a_controls_procedures">
              <w:r>
                <w:rPr>
                  <w:rStyle w:val="InternetLink"/>
                  <w:rFonts w:ascii="Times New Roman;serif" w:hAnsi="Times New Roman;serif"/>
                  <w:b w:val="false"/>
                  <w:sz w:val="20"/>
                  <w:u w:val="single"/>
                </w:rPr>
                <w:t>Controls and Procedures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9B.</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9b_or_information">
              <w:r>
                <w:rPr>
                  <w:rStyle w:val="InternetLink"/>
                  <w:rFonts w:ascii="Times New Roman;serif" w:hAnsi="Times New Roman;serif"/>
                  <w:b w:val="false"/>
                  <w:sz w:val="20"/>
                  <w:u w:val="single"/>
                </w:rPr>
                <w:t>Other Information</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9C.</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_9c_disclosure_regarding_foreign">
              <w:r>
                <w:rPr>
                  <w:rStyle w:val="InternetLink"/>
                  <w:rFonts w:ascii="Times New Roman;serif" w:hAnsi="Times New Roman;serif"/>
                  <w:b w:val="false"/>
                  <w:sz w:val="20"/>
                  <w:u w:val="single"/>
                </w:rPr>
                <w:t>Disclosure Regarding Foreign Jurisdiction that Prevent Inspections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i">
              <w:r>
                <w:rPr>
                  <w:rStyle w:val="InternetLink"/>
                  <w:rFonts w:ascii="Times New Roman;serif" w:hAnsi="Times New Roman;serif"/>
                  <w:b/>
                  <w:sz w:val="20"/>
                  <w:u w:val="single"/>
                </w:rPr>
                <w:t>PART III</w:t>
              </w:r>
            </w:hyperlink>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10.</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0_directors_executive_ficers_corpo">
              <w:r>
                <w:rPr>
                  <w:rStyle w:val="InternetLink"/>
                  <w:rFonts w:ascii="Times New Roman;serif" w:hAnsi="Times New Roman;serif"/>
                  <w:b w:val="false"/>
                  <w:sz w:val="20"/>
                  <w:u w:val="single"/>
                </w:rPr>
                <w:t>Directors, Executive Officers and Corporate Governance</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11.</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1_executive_compensation">
              <w:r>
                <w:rPr>
                  <w:rStyle w:val="InternetLink"/>
                  <w:rFonts w:ascii="Times New Roman;serif" w:hAnsi="Times New Roman;serif"/>
                  <w:b w:val="false"/>
                  <w:sz w:val="20"/>
                  <w:u w:val="single"/>
                </w:rPr>
                <w:t>Executive Compensation</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12.</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2_security_ownership_certain_benef">
              <w:r>
                <w:rPr>
                  <w:rStyle w:val="InternetLink"/>
                  <w:rFonts w:ascii="Times New Roman;serif" w:hAnsi="Times New Roman;serif"/>
                  <w:b w:val="false"/>
                  <w:sz w:val="20"/>
                  <w:u w:val="single"/>
                </w:rPr>
                <w:t>Security Ownership of Certain Beneficial Owners and Management and Related Stockholder Matters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13.</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3_certain_relationships_related_tr">
              <w:r>
                <w:rPr>
                  <w:rStyle w:val="InternetLink"/>
                  <w:rFonts w:ascii="Times New Roman;serif" w:hAnsi="Times New Roman;serif"/>
                  <w:b w:val="false"/>
                  <w:sz w:val="20"/>
                  <w:u w:val="single"/>
                </w:rPr>
                <w:t>Certain Relationships and Related Transactions, and Director Independence</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14.</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4_principal_accountant_fees_servic">
              <w:r>
                <w:rPr>
                  <w:rStyle w:val="InternetLink"/>
                  <w:rFonts w:ascii="Times New Roman;serif" w:hAnsi="Times New Roman;serif"/>
                  <w:b w:val="false"/>
                  <w:sz w:val="20"/>
                  <w:u w:val="single"/>
                </w:rPr>
                <w:t>Principal Accounting Fees and Services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v">
              <w:r>
                <w:rPr>
                  <w:rStyle w:val="InternetLink"/>
                  <w:rFonts w:ascii="Times New Roman;serif" w:hAnsi="Times New Roman;serif"/>
                  <w:b/>
                  <w:sz w:val="20"/>
                  <w:u w:val="single"/>
                </w:rPr>
                <w:t>PART IV</w:t>
              </w:r>
            </w:hyperlink>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15.</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5_exhibits_financial_statement_sch">
              <w:r>
                <w:rPr>
                  <w:rStyle w:val="InternetLink"/>
                  <w:rFonts w:ascii="Times New Roman;serif" w:hAnsi="Times New Roman;serif"/>
                  <w:b w:val="false"/>
                  <w:sz w:val="20"/>
                  <w:u w:val="single"/>
                </w:rPr>
                <w:t>Exhibits and Financial Statement Schedules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16.</w:t>
            </w:r>
          </w:p>
        </w:tc>
        <w:tc>
          <w:tcPr>
            <w:tcW w:w="878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6_form_10k_summary">
              <w:r>
                <w:rPr>
                  <w:rStyle w:val="InternetLink"/>
                  <w:rFonts w:ascii="Times New Roman;serif" w:hAnsi="Times New Roman;serif"/>
                  <w:b w:val="false"/>
                  <w:sz w:val="20"/>
                  <w:u w:val="single"/>
                </w:rPr>
                <w:t>Form 10-K Summary</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r>
      <w:tr>
        <w:trPr/>
        <w:tc>
          <w:tcPr>
            <w:tcW w:w="9693"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_1">
              <w:r>
                <w:rPr>
                  <w:rStyle w:val="InternetLink"/>
                  <w:rFonts w:ascii="Times New Roman;serif" w:hAnsi="Times New Roman;serif"/>
                  <w:b w:val="false"/>
                  <w:sz w:val="20"/>
                  <w:u w:val="single"/>
                </w:rPr>
                <w:t>Signatures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SPECIAL CAUTIONARY NOTICE REGARDING FORWARD-LOOKING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Annual Report on Form 10-K, or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continue as a going concern;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of our planned Investigational New Drug and Clinical Trial Agreement submissions, initiation of clinical trials and timing of expected clinical results for TSHA-102 for Rett, TSHA-120 for GAN and any other current and future product candidates that we advance;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of any submission of filings for regulatory approval of, and our ability to obtain and maintain regulatory approvals for, our current and future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outbreak of the novel strain of coronavirus disease, COVID-19, which could adversely impact our business, including our preclinical studies, clinical supply and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identify patients with the diseases treated by our product candidates, and to enroll patients in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the size of the patient populations, market acceptance and opportunity for and clinical utility of our product candidates, if approved for commercial use;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manufacturing capabilities and strategy, including the scalability and commercial viability of our manufacturing methods and processes;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the scope of any approved indication for, TSHA-102, TSHA-120 or any other current or future product candidate that we advance;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successfully commercialize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leverage our platform, including our next-generation technologies, to identify and develop future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estimates of our expenses, ongoing losses, future revenue, capital requirements and our need for or ability to obtain additional funding before we can expect to generate any revenue from product sales;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establish or maintain collaborations or strategic relationships;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identify, recruit and retain key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reliance upon intellectual property licensed from third parties and our ability to obtain such licenses on commercially reasonable terms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protect and enforce our intellectual property position for our product candidates, and the scope of such protection;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comply with the terms of our term loan agreement;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financial performance;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competitive position and the development of and projections relating to our competitors or our industry;</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estimates regarding future revenue, expenses and needs for additional financing; and</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expectations regarding the time during which we will be an emerging growth company under the JOBS Act.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 should read this report and the documents that we reference in this report, completely and with the understanding that our actual future results may be materially different from what we expect. We qualify all of our forward-looking statements by these cautionary statements.</w:t>
      </w:r>
    </w:p>
    <w:p>
      <w:pPr>
        <w:pStyle w:val="TextBody"/>
        <w:spacing w:before="240" w:after="0"/>
        <w:jc w:val="left"/>
        <w:rPr>
          <w:rFonts w:ascii="Times New Roman" w:hAnsi="Times New Roman"/>
          <w:sz w:val="20"/>
        </w:rPr>
      </w:pPr>
      <w:r>
        <w:rPr>
          <w:rFonts w:ascii="Times New Roman;serif" w:hAnsi="Times New Roman;serif"/>
          <w:b w:val="false"/>
          <w:sz w:val="20"/>
        </w:rPr>
        <w:t xml:space="preserve">All brand names or trademarks appearing in this Annual Report are the property of their respective owners. Solely for convenience, the trademarks and trade names in this Annual Report are referred to without the symbols </w:t>
      </w:r>
      <w:r>
        <w:rPr>
          <w:rFonts w:ascii="Times New Roman;serif" w:hAnsi="Times New Roman;serif"/>
          <w:b w:val="false"/>
          <w:sz w:val="13"/>
        </w:rPr>
        <w:t xml:space="preserve">® </w:t>
      </w:r>
      <w:r>
        <w:rPr>
          <w:rFonts w:ascii="Times New Roman;serif" w:hAnsi="Times New Roman;serif"/>
          <w:b w:val="false"/>
          <w:sz w:val="20"/>
        </w:rPr>
        <w:t xml:space="preserve">and </w:t>
      </w:r>
      <w:r>
        <w:rPr>
          <w:rFonts w:ascii="Times New Roman;serif" w:hAnsi="Times New Roman;serif"/>
          <w:b w:val="false"/>
          <w:sz w:val="13"/>
        </w:rPr>
        <w:t>TM</w:t>
      </w:r>
      <w:r>
        <w:rPr>
          <w:rFonts w:ascii="Times New Roman;serif" w:hAnsi="Times New Roman;serif"/>
          <w:b w:val="false"/>
          <w:sz w:val="20"/>
        </w:rPr>
        <w:t>, but such references should not be construed as any indication that their respective owners will not assert, to the fullest extent under applicable law, their rights thereto.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Unless the context requires otherwise, references in this report to “Taysha,” the “Company,” “we,” “us,” and “our” refer to Taysha Gene Therapies, Inc. together with its consolidated subsidiaries.</w:t>
      </w:r>
      <w:r>
        <w:rPr>
          <w:rFonts w:ascii="Times New Roman" w:hAnsi="Times New Roman"/>
          <w:sz w:val="20"/>
        </w:rPr>
        <w:t xml:space="preserve">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 w:name="part_i"/>
      <w:bookmarkEnd w:id="2"/>
      <w:r>
        <w:rPr>
          <w:rFonts w:ascii="Times New Roman;serif" w:hAnsi="Times New Roman;serif"/>
          <w:b/>
          <w:sz w:val="20"/>
        </w:rPr>
        <w:t>PART</w:t>
      </w:r>
      <w:r>
        <w:rPr>
          <w:rFonts w:ascii="Times New Roman" w:hAnsi="Times New Roman"/>
          <w:sz w:val="20"/>
        </w:rPr>
        <w:t xml:space="preserve"> </w:t>
      </w:r>
      <w:r>
        <w:rPr>
          <w:rFonts w:ascii="Times New Roman;serif" w:hAnsi="Times New Roman;serif"/>
          <w:b/>
          <w:sz w:val="20"/>
        </w:rPr>
        <w:t>I</w:t>
      </w:r>
    </w:p>
    <w:p>
      <w:pPr>
        <w:pStyle w:val="TextBody"/>
        <w:spacing w:before="240" w:after="0"/>
        <w:jc w:val="left"/>
        <w:rPr>
          <w:rFonts w:ascii="Times New Roman;serif" w:hAnsi="Times New Roman;serif"/>
          <w:b/>
          <w:sz w:val="20"/>
        </w:rPr>
      </w:pPr>
      <w:bookmarkStart w:id="3" w:name="item_1_business"/>
      <w:bookmarkEnd w:id="3"/>
      <w:r>
        <w:rPr>
          <w:rFonts w:ascii="Times New Roman;serif" w:hAnsi="Times New Roman;serif"/>
          <w:b/>
          <w:sz w:val="20"/>
        </w:rPr>
        <w:t>Item 1. Business.</w:t>
      </w:r>
    </w:p>
    <w:p>
      <w:pPr>
        <w:pStyle w:val="TextBody"/>
        <w:spacing w:before="12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We are a patient-centric gene therapy company focused on developing and commercializing AAV-based gene therapies for the treatment of monogenic diseases of the central nervous system, or CNS. We were founded in partnership with The University of Texas Southwestern Medical Center, or UT Southwestern, to develop and commercialize transformative gene therapy treatments. Together with UT Southwestern, we possess a portfolio of gene therapy product candidates, with exclusive options to acquire several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In March 2022, we announced strategic pipeline prioritization initiatives focused on giant axonal neuropathy, or GAN, and Rett syndrome, and we have subsequently further paused substantially all other research and development activities to increase operational efficiency.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April 2021, we acquired exclusive worldwide rights to TSHA-120, a clinical-stage, intrathecally dosed AAV9 gene therapy program for the treatment of giant axonal neuropathy, or GAN. A Phase 1/2 clinical trial of TSHA-120 is being conducted by the National Institutes of Health, or NIH, under an accepted investigational new drug application, or IND. We reported clinical safety and functional MFM32, a validated 32-item scale for motor function measurement developed for neuromuscular diseases, data from this trial for the highest dose cohort of 3.5x10</w:t>
      </w:r>
      <w:r>
        <w:rPr>
          <w:rFonts w:ascii="Times New Roman;serif" w:hAnsi="Times New Roman;serif"/>
          <w:b w:val="false"/>
          <w:sz w:val="13"/>
        </w:rPr>
        <w:t xml:space="preserve">14 </w:t>
      </w:r>
      <w:r>
        <w:rPr>
          <w:rFonts w:ascii="Times New Roman;serif" w:hAnsi="Times New Roman;serif"/>
          <w:b w:val="false"/>
          <w:sz w:val="20"/>
        </w:rPr>
        <w:t>total vg (by dot blot) and 1.0x10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(by ddPCR) in January 2022, where we saw continued clinically meaningful slowing of disease progression similar to that achieved with the lower dose cohorts, which we considered confirmatory of disease modification. We recently completed a commercially representative Good Manufacturing Practices, or GMP, batch of TSHA-120, which demonstrated that the pivotal lots from the commercial grade material were generally analytically comparable to the original clinical trial material. Release testing for this batch was completed in the fourth quarter of 2022. In September 2022, we submitted a meeting request to the U.S. Food and Drug Administration, or the FDA, and were granted a Type B end-of-Phase 2 meeting via teleconference on December 13, 2022. In January 2023, we reported feedback from the Type B end-of-Phase 2 meeting with the FDA following receipt of the formal meeting minutes. The FDA provided additional clarity for TSHA-120 where MFM32 was acknowledged as an acceptable endpoint with a recommendation to dose additional patients in a double-blind, placebo-controlled design to support a Biologics License Application, or BLA. The FDA acknowledged that our overall approach to manufacturing of commercial material was appropriate pending review of a planned Chemistry, Manufacturing and Controls, or CMC, data package for TSHA-120. Subsequently, we submitted follow up questions in response to the formal meeting minutes. The FDA clarified MFM32 as a relevant primary endpoint in the setting of a randomized, double-blind, placebo controlled trial and acknowledged Taysha's challenge in designing such study due to the ultra-rare nature of GAN. The FDA was open to acceptance of more uncertainty due to difficulty in enrolling a sufficient number of patients and regulatory flexibility in a controlled trial setting. In addition, the FDA indicated it was willing to consider alternative study designs utilizing objective measurements to demonstrate a relatively large treatment effect that is self-evident and clinically meaningful. The FDA acknowledged that the size of the safety database will be a review issue and acceptance of the existing safety data from treated patients will depend on demonstration of product comparability. We have completed the CMC module 3 amendment submission detailing drug comparability data and are awaiting FDA feedback.</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evaluating TSHA-102 in the REVEAL Phase 1/2 clinical trial, which is an open-label, dose escalation, randomized, multicenter study that is examining the safety and efficacy of TSHA-102 in adult female patients with Rett syndrome. We expect to dose the first adult patient with Rett syndrome in the first half of 2023 and to report initial available clinical data in the first half of 2023, with planned quarterly updates on available clinical data, primarily on safety, from the adult study thereafter. We anticipate submission of a clinical trial application, or CTA, to the United Kingdom’s Medicines and Healthcare Products Regulatory Agency, or MHRA, for TSHA-102 in pediatric patients with Rett syndrome in mid-2023. We plan to submit an IND application for Rett syndrome to the FDA in the second half of 2023.</w:t>
      </w:r>
    </w:p>
    <w:p>
      <w:pPr>
        <w:pStyle w:val="TextBody"/>
        <w:spacing w:before="360" w:after="0"/>
        <w:jc w:val="left"/>
        <w:rPr>
          <w:rFonts w:ascii="Times New Roman;serif" w:hAnsi="Times New Roman;serif"/>
          <w:b/>
          <w:sz w:val="20"/>
        </w:rPr>
      </w:pPr>
      <w:r>
        <w:rPr>
          <w:rFonts w:ascii="Times New Roman;serif" w:hAnsi="Times New Roman;serif"/>
          <w:b/>
          <w:sz w:val="20"/>
        </w:rPr>
        <w:t>Our Pipeline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possess a portfolio of gene therapy product candidates for monogenic diseases of the CNS in both rare and large patient populations, with exclusive options to acquire several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pStyle w:val="TextBody"/>
        <w:spacing w:before="120" w:after="0"/>
        <w:jc w:val="left"/>
        <w:rPr/>
      </w:pPr>
      <w:r>
        <w:rPr/>
        <w:drawing>
          <wp:inline distT="0" distB="0" distL="0" distR="0">
            <wp:extent cx="7105650" cy="1562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05650" cy="1562100"/>
                    </a:xfrm>
                    <a:prstGeom prst="rect">
                      <a:avLst/>
                    </a:prstGeom>
                  </pic:spPr>
                </pic:pic>
              </a:graphicData>
            </a:graphic>
          </wp:inline>
        </w:drawing>
      </w:r>
      <w:r>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TSHA-120 for Giant Axonal Neuropathy (GAN)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March 2021, we acquired the exclusive worldwide rights to a clinical-stage, intrathecally dosed AAV9 gene therapy program, now known as TSHA-120, for the treatment of giant axonal neuropathy, or GAN, pursuant to a license agreement with Hannah’s Hope Fund for Giant Axonal Neuropathy, Inc., or HHF. Under the terms of the agreement, HHF received an upfront payment of $5.5 million and will be eligible to receive clinical, regulatory and commercial milestones totaling up to $19.3 million, as well as a low, single-digit royalty on net sales upon commercialization of TSHA-120.</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GAN is an ultra-rare autosomal recessive, progressive neurodegenerative disease of the central, peripheral and autonomic nervous systems caused by deficiency or complete loss-of-function of gigaxonin and the accumulation of intermediate filaments. Epidemiology studies indicate there are between 1,000 and 1,500 treatable GAN patients in the United States, European Union and United Kingdom.</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is an early (classical) and late-onset (non-classical) phenotype associated with the disease, with shared pathophysiology due to accumulation of intermediate filaments. Symptoms and features of children with classical GAN usually develop before the age of five years with distal muscle weakness and sensory loss due to axonal sensory motor neuropathy, manifesting as bilateral foot drop and difficulties with fine motor coordination. An abnormal, wide based, unsteady gait due to central nervous system and cerebellar involvement is also a common initial clinical manifestation. Children with the classical phenotype typically have dull, tightly curled, coarse hair (“kinky” hair), “giant” axons pathognomonic on a nerve biopsy due to accumulation of intermediate filaments, and progressive spinal cord atrophy and white matter abnormalities, initially around the cerebellar dentate nucleus, on MRI images. Symptoms progress and, as the children grow older, they develop progressive proximal muscle weakness, resulting in difficulties raising their arms and standing from the floor or a chair, scoliosis, distal contractures, progressive gait and limb ataxia, leading to loss of ambulation by the second decade. Progressive optic nerve atrophy, seen early in the disease, results in increasing deterioration of visual acuity in later stages and has been more recently described. Indeed, decreased visual acuity was seen at baseline in approximately half of GAN patients aged 3-21 years, enrolled in a natural history study [Brain. 2021 Nov 29;144(10):3239-3250]. Due to increased respiratory muscle weakness and restrictive respiratory failure as a result of severe scoliosis, assisted ventilation is required in adolescents. GAN patients often die during their late teens or early twenties, typically due to respiratory failure.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late-onset, or non-classical, phenotype is often categorized as Charcot-Marie-Tooth Type 2, or CMT2, as it presents as a typical early onset axonal sensory motor neuropathy without the typical kinky hair and CNS involvement of the classical phenotype and has a relatively slow progression. This phenotype might represent up to 6% of all CMT2 diagnosis. In the late-onset population, patients have poor quality of life and significantly compromised activities of daily living. The disease is life limiting but not as severely as classic GAN. In classic GAN, symptomatic treatments attempt to maximize physical development and minimize the rate of deterioration. Currently, there are no approved disease-modifying therapies available, only palliative treatments.</w:t>
      </w:r>
    </w:p>
    <w:p>
      <w:pPr>
        <w:pStyle w:val="TextBody"/>
        <w:spacing w:before="240" w:after="0"/>
        <w:jc w:val="left"/>
        <w:rPr>
          <w:rFonts w:ascii="Times New Roman" w:hAnsi="Times New Roman"/>
          <w:sz w:val="20"/>
        </w:rPr>
      </w:pPr>
      <w:r>
        <w:rPr>
          <w:rFonts w:ascii="Times New Roman;serif" w:hAnsi="Times New Roman;serif"/>
          <w:b w:val="false"/>
          <w:sz w:val="20"/>
        </w:rPr>
        <w:t xml:space="preserve">TSHA-120 is an AAV9 self-complementary viral vector with an engineered transgene encoding the full length human gigaxonin protein. The construct was invented by Dr. Steven Gray and is the first AAV9 gene therapy candidate to deliver a codon optimized, functional copy of the </w:t>
      </w:r>
      <w:r>
        <w:rPr>
          <w:rFonts w:ascii="Times New Roman;serif" w:hAnsi="Times New Roman;serif"/>
          <w:b w:val="false"/>
          <w:i/>
          <w:sz w:val="20"/>
        </w:rPr>
        <w:t>GAN</w:t>
      </w:r>
      <w:r>
        <w:rPr>
          <w:rFonts w:ascii="Times New Roman" w:hAnsi="Times New Roman"/>
          <w:sz w:val="20"/>
        </w:rPr>
        <w:t xml:space="preserve"> </w:t>
      </w:r>
      <w:r>
        <w:rPr>
          <w:rFonts w:ascii="Times New Roman;serif" w:hAnsi="Times New Roman;serif"/>
          <w:b w:val="false"/>
          <w:sz w:val="20"/>
        </w:rPr>
        <w:t>gene with optimal tropism and rapid expression under the control of a JeT promoter that drives ubiquitous expression.</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20" w:after="0"/>
        <w:jc w:val="center"/>
        <w:rPr/>
      </w:pPr>
      <w:r>
        <w:rPr/>
        <w:drawing>
          <wp:inline distT="0" distB="0" distL="0" distR="0">
            <wp:extent cx="6029325" cy="1943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29325" cy="1943100"/>
                    </a:xfrm>
                    <a:prstGeom prst="rect">
                      <a:avLst/>
                    </a:prstGeom>
                  </pic:spPr>
                </pic:pic>
              </a:graphicData>
            </a:graphic>
          </wp:inline>
        </w:drawing>
      </w:r>
      <w:r>
        <w:rPr/>
        <w:t> </w:t>
      </w:r>
    </w:p>
    <w:p>
      <w:pPr>
        <w:pStyle w:val="TextBody"/>
        <w:spacing w:before="0" w:after="0"/>
        <w:jc w:val="left"/>
        <w:rPr/>
      </w:pPr>
      <w:r>
        <w:rPr/>
        <w:t> </w:t>
      </w:r>
    </w:p>
    <w:p>
      <w:pPr>
        <w:pStyle w:val="TextBody"/>
        <w:spacing w:before="120" w:after="360"/>
        <w:jc w:val="left"/>
        <w:rPr>
          <w:rFonts w:ascii="Times New Roman;serif" w:hAnsi="Times New Roman;serif"/>
          <w:b w:val="false"/>
          <w:sz w:val="20"/>
        </w:rPr>
      </w:pPr>
      <w:r>
        <w:rPr>
          <w:rFonts w:ascii="Times New Roman;serif" w:hAnsi="Times New Roman;serif"/>
          <w:b w:val="false"/>
          <w:sz w:val="20"/>
        </w:rPr>
        <w:t>We have received orphan drug designation and rare pediatric disease designation from the FDA for TSHA-120 for the treatment of GAN. In April 2022, we received orphan drug designation from the European Commission for TSHA-120 for the treatment of GAN.</w:t>
      </w:r>
    </w:p>
    <w:p>
      <w:pPr>
        <w:pStyle w:val="TextBody"/>
        <w:spacing w:before="240" w:after="0"/>
        <w:jc w:val="left"/>
        <w:rPr>
          <w:rFonts w:ascii="Times New Roman" w:hAnsi="Times New Roman"/>
          <w:sz w:val="20"/>
        </w:rPr>
      </w:pPr>
      <w:r>
        <w:rPr>
          <w:rFonts w:ascii="Times New Roman;serif" w:hAnsi="Times New Roman;serif"/>
          <w:b w:val="false"/>
          <w:sz w:val="20"/>
        </w:rPr>
        <w:t>There is an ongoing longitudinal prospective natural history study being led by the NIH, that has already identified and followed a number of patients with GAN for over five years with disease progression characterized by a number of clinical assessments. This is a basket natural history study, where GAN was one of the rare diseases to be included. The baseline characteristics of the first 45 GAN patients, aged 3 to 21 years have been published. Imaging data from this study have demonstrated that there are distinctive increased T2 signal abnormalities within the cerebellar white matter surrounding the dentate nucleus of the cerebellum, which represent one of the earliest brain imaging findings in individuals with GAN. These findings precede the more widespread periventricular and deep white matter signal abnormalities associated with advanced disease. In addition, cortical and spinal cord atrophy appeared to correspond to more advanced disease severity and older age. Impaired pulmonary function in patients with GAN also was observed, with forced vital capacity correlating well with several functional outcomes such as the MFM32. Nocturnal hypoventilation and sleep apnea progressed over time, with sleep apnea worsening as ambulatory function deteriorated. Total MFM32 score also correlated with ambulatory status, where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independently ambulant individuals performed better and had higher MFM32 scores than the non-ambulant group, as shown in the graph below.</w:t>
      </w:r>
    </w:p>
    <w:p>
      <w:pPr>
        <w:pStyle w:val="TextBody"/>
        <w:spacing w:before="0" w:after="0"/>
        <w:jc w:val="left"/>
        <w:rPr/>
      </w:pPr>
      <w:r>
        <w:rPr/>
        <w:t> </w:t>
      </w:r>
    </w:p>
    <w:p>
      <w:pPr>
        <w:pStyle w:val="TextBody"/>
        <w:spacing w:before="120" w:after="360"/>
        <w:jc w:val="center"/>
        <w:rPr/>
      </w:pPr>
      <w:r>
        <w:rPr/>
        <w:drawing>
          <wp:inline distT="0" distB="0" distL="0" distR="0">
            <wp:extent cx="3609975" cy="423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09975" cy="4238625"/>
                    </a:xfrm>
                    <a:prstGeom prst="rect">
                      <a:avLst/>
                    </a:prstGeom>
                  </pic:spPr>
                </pic:pic>
              </a:graphicData>
            </a:graphic>
          </wp:inline>
        </w:drawing>
      </w:r>
      <w:r>
        <w:rPr/>
        <w:t> </w:t>
      </w:r>
    </w:p>
    <w:p>
      <w:pPr>
        <w:pStyle w:val="TextBody"/>
        <w:spacing w:before="240" w:after="0"/>
        <w:jc w:val="left"/>
        <w:rPr>
          <w:rFonts w:ascii="Times New Roman" w:hAnsi="Times New Roman"/>
          <w:sz w:val="20"/>
        </w:rPr>
      </w:pPr>
      <w:r>
        <w:rPr>
          <w:rFonts w:ascii="Times New Roman;serif" w:hAnsi="Times New Roman;serif"/>
          <w:b w:val="false"/>
          <w:sz w:val="20"/>
        </w:rPr>
        <w:t>Patients also reported significant autonomic dysfunction based on the COMPASS 31 self-assessment questionnaire. In addition, nerve conduction function demonstrated progressive sensorimotor polyneuropathy with age. As would be expected for a neurodegenerative disease, younger patients have higher baseline MFM32 scores. Other composite scores evaluating neuropathy severity, Neuropathy Impairment Score, or NIS, and ataxia, Friedreich’s Ataxia Rating Scale, or FARS, showed a highly significant correlation with age in the classic GAN patients, as well as MFM32, with all three composite scores tracking well with ambulatory status. These three clinically relevant composite scores are therefore relevant markers of function for the classic GAN phenotype.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preliminary data and analysis from longitudinal follow up, ten patients have had at least a second timepoint at different time intervals. The rate of decline in the MFM32 scores demonstrated some consistency across patients of all ages, with most demonstrating a calculated annualized average 8-point decline regardless of age and/or baseline MFM32 score, as shown in the natural history plot below.</w:t>
      </w:r>
      <w:r>
        <w:rPr>
          <w:rFonts w:ascii="Times New Roman" w:hAnsi="Times New Roman"/>
          <w:sz w:val="20"/>
        </w:rPr>
        <w:t xml:space="preserve"> </w:t>
      </w:r>
    </w:p>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120" w:after="0"/>
        <w:jc w:val="center"/>
        <w:rPr/>
      </w:pPr>
      <w:r>
        <w:rPr/>
        <w:drawing>
          <wp:inline distT="0" distB="0" distL="0" distR="0">
            <wp:extent cx="3381375" cy="2743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81375" cy="274320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Source: NIH</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A 4-point score change in the MFM32 is considered clinically meaningful in other pediatric neuromuscular disorders, such as Spinal Muscular Atrophy, suggesting that patients with GAN lose significant function annually. To date, we have up to eight years of robust data from this study.</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Preclinical Data</w:t>
      </w:r>
    </w:p>
    <w:p>
      <w:pPr>
        <w:pStyle w:val="TextBody"/>
        <w:spacing w:before="120" w:after="0"/>
        <w:jc w:val="left"/>
        <w:rPr>
          <w:rFonts w:ascii="Times New Roman" w:hAnsi="Times New Roman"/>
          <w:sz w:val="20"/>
        </w:rPr>
      </w:pPr>
      <w:r>
        <w:rPr>
          <w:rFonts w:ascii="Times New Roman;serif" w:hAnsi="Times New Roman;serif"/>
          <w:b w:val="false"/>
          <w:sz w:val="20"/>
        </w:rPr>
        <w:t xml:space="preserve">TSHA-120 performed well across </w:t>
      </w:r>
      <w:r>
        <w:rPr>
          <w:rFonts w:ascii="Times New Roman;serif" w:hAnsi="Times New Roman;serif"/>
          <w:b w:val="false"/>
          <w:i/>
          <w:sz w:val="20"/>
        </w:rPr>
        <w:t xml:space="preserve">in vitro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studies, and demonstrated improved motor function and nerve pathology, and long-term safety across several animal models. Of note, improved dorsal root ganglia, or DRG, pathology was demonstrated in TSHA-120-treated GAN knockout, or KO, mice. These preclinical results have been published in a number of peer-reviewed journals.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Additional preclinical data from a GAN KO rodent model that had received AAV9-mediated GAN gene therapy demonstrated that GAN rodents treated at 16 months performed significantly better than 18-month old untreated GAN rodents and equivalently to controls. These rodents were evaluated using a rotarod performance test which is designed to evaluate endurance, balance, grip strength and motor coordination in rodents. The time to fall off the rotarod, known as latency, was also evaluated and the data below demonstrated the clear difference in latency in treated versus untreated GAN rodents.</w:t>
      </w:r>
    </w:p>
    <w:p>
      <w:pPr>
        <w:pStyle w:val="TextBody"/>
        <w:spacing w:before="0" w:after="0"/>
        <w:jc w:val="left"/>
        <w:rPr/>
      </w:pPr>
      <w:r>
        <w:rPr/>
        <w:t> </w:t>
      </w:r>
    </w:p>
    <w:p>
      <w:pPr>
        <w:pStyle w:val="TextBody"/>
        <w:spacing w:before="120" w:after="0"/>
        <w:jc w:val="center"/>
        <w:rPr/>
      </w:pPr>
      <w:r>
        <w:rPr/>
        <w:drawing>
          <wp:inline distT="0" distB="0" distL="0" distR="0">
            <wp:extent cx="4810125" cy="3009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10125" cy="3009900"/>
                    </a:xfrm>
                    <a:prstGeom prst="rect">
                      <a:avLst/>
                    </a:prstGeom>
                  </pic:spPr>
                </pic:pic>
              </a:graphicData>
            </a:graphic>
          </wp:inline>
        </w:drawing>
      </w:r>
      <w:r>
        <w:rPr/>
        <w:t> </w:t>
      </w:r>
    </w:p>
    <w:p>
      <w:pPr>
        <w:pStyle w:val="TextBody"/>
        <w:spacing w:before="120" w:after="0"/>
        <w:jc w:val="center"/>
        <w:rPr>
          <w:rFonts w:ascii="Times New Roman;serif" w:hAnsi="Times New Roman;serif"/>
          <w:b w:val="false"/>
          <w:sz w:val="16"/>
        </w:rPr>
      </w:pPr>
      <w:r>
        <w:rPr>
          <w:rFonts w:ascii="Times New Roman;serif" w:hAnsi="Times New Roman;serif"/>
          <w:b w:val="false"/>
          <w:sz w:val="16"/>
        </w:rPr>
        <w:t>Source: Unpublished rotarod performance data of a rat model of GAN (homozygous A49E variant) from Dr Steven Gray</w:t>
      </w:r>
    </w:p>
    <w:p>
      <w:pPr>
        <w:pStyle w:val="TextBody"/>
        <w:spacing w:before="12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result is considered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With respect to DRG inflammation, a topic of considerable interest within the gene therapy arena, the DRG have a significantly abnormal histological appearance and function as a consequence of underlying disease pathophysiology. Treatment with TSHA-120 resulted in considerable improvements in the pathological appearance of the DRG in the GAN KO mice. Shown below is tissue from a GAN KO mouse model with numerous abnormal neuronal inclusions containing aggregates of damaged neurofilament in the DRG as indicated by the yellow arrows. On image C, tissue from the GAN KO mice treated with an intrathecal, or IT, injection of TSHA-120 had a notable improvement in the reduction of these neuronal inclusions in the DRG.</w:t>
      </w:r>
    </w:p>
    <w:p>
      <w:pPr>
        <w:pStyle w:val="TextBody"/>
        <w:spacing w:before="0" w:after="0"/>
        <w:jc w:val="left"/>
        <w:rPr/>
      </w:pPr>
      <w:r>
        <w:rPr/>
        <w:t> </w:t>
      </w:r>
    </w:p>
    <w:p>
      <w:pPr>
        <w:pStyle w:val="TextBody"/>
        <w:spacing w:before="120" w:after="0"/>
        <w:jc w:val="center"/>
        <w:rPr/>
      </w:pPr>
      <w:r>
        <w:rPr/>
        <w:drawing>
          <wp:inline distT="0" distB="0" distL="0" distR="0">
            <wp:extent cx="6305550" cy="238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305550" cy="2381250"/>
                    </a:xfrm>
                    <a:prstGeom prst="rect">
                      <a:avLst/>
                    </a:prstGeom>
                  </pic:spPr>
                </pic:pic>
              </a:graphicData>
            </a:graphic>
          </wp:inline>
        </w:drawing>
      </w:r>
      <w:r>
        <w:rPr/>
        <w:t> </w:t>
      </w:r>
    </w:p>
    <w:p>
      <w:pPr>
        <w:pStyle w:val="TextBody"/>
        <w:spacing w:before="160" w:after="0"/>
        <w:jc w:val="left"/>
        <w:rPr>
          <w:rFonts w:ascii="Times New Roman" w:hAnsi="Times New Roman"/>
          <w:sz w:val="20"/>
        </w:rPr>
      </w:pPr>
      <w:r>
        <w:rPr>
          <w:rFonts w:ascii="Times New Roman;serif" w:hAnsi="Times New Roman;serif"/>
          <w:b w:val="false"/>
          <w:sz w:val="16"/>
        </w:rPr>
        <w:t xml:space="preserve">Source: Variant of Fig 6 A-C from Bailey RM, Armao D, Kalburgi SN, Gray SJ (2018) </w:t>
      </w:r>
      <w:r>
        <w:rPr>
          <w:rFonts w:ascii="Times New Roman;serif" w:hAnsi="Times New Roman;serif"/>
          <w:b/>
          <w:sz w:val="16"/>
        </w:rPr>
        <w:t xml:space="preserve">Development of Intrathecal Aav9 Gene Therapy for Giant Axonal Neuropathy. </w:t>
      </w:r>
      <w:r>
        <w:rPr>
          <w:rFonts w:ascii="Times New Roman;serif" w:hAnsi="Times New Roman;serif"/>
          <w:b w:val="false"/>
          <w:sz w:val="16"/>
        </w:rPr>
        <w:t>Molecular Therapy-Methods &amp; Clinical Development 9160-171.</w:t>
      </w:r>
    </w:p>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When a quantitative approach to reduce inclusions in the DRG was applied, it was observed that TSHA-120 treated mice experienced a statistically significant reduction in the average number of neuronal inclusions versus the GAN KO mice that received vehicle as illustrated below.</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pPr>
      <w:r>
        <w:rPr/>
        <w:drawing>
          <wp:inline distT="0" distB="0" distL="0" distR="0">
            <wp:extent cx="3467100" cy="3486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467100" cy="3486150"/>
                    </a:xfrm>
                    <a:prstGeom prst="rect">
                      <a:avLst/>
                    </a:prstGeom>
                  </pic:spPr>
                </pic:pic>
              </a:graphicData>
            </a:graphic>
          </wp:inline>
        </w:drawing>
      </w: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16"/>
        </w:rPr>
        <w:t xml:space="preserve">Source: Variant of Fig 6 D from Bailey RM, Armao D, Kalburgi SN, Gray SJ (2018) </w:t>
      </w:r>
      <w:r>
        <w:rPr>
          <w:rFonts w:ascii="Times New Roman;serif" w:hAnsi="Times New Roman;serif"/>
          <w:b/>
          <w:sz w:val="16"/>
        </w:rPr>
        <w:t>Development of Intrathecal Aav9 Gene Therapy for Giant Axonal Neuropathy</w:t>
      </w:r>
      <w:r>
        <w:rPr>
          <w:rFonts w:ascii="Times New Roman;serif" w:hAnsi="Times New Roman;serif"/>
          <w:b w:val="false"/>
          <w:sz w:val="16"/>
        </w:rPr>
        <w:t>. Molecular Therapy-Methods &amp; Clinical Development 9160-171.</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TSHA-120 demonstrated improved pathology of the sciatic nerve in the GAN KO mice as shown below.</w:t>
      </w:r>
    </w:p>
    <w:p>
      <w:pPr>
        <w:pStyle w:val="TextBody"/>
        <w:spacing w:before="0" w:after="0"/>
        <w:jc w:val="left"/>
        <w:rPr/>
      </w:pPr>
      <w:r>
        <w:rPr/>
        <w:t> </w:t>
      </w:r>
    </w:p>
    <w:p>
      <w:pPr>
        <w:pStyle w:val="TextBody"/>
        <w:spacing w:before="120" w:after="0"/>
        <w:jc w:val="center"/>
        <w:rPr/>
      </w:pPr>
      <w:r>
        <w:rPr/>
        <w:drawing>
          <wp:inline distT="0" distB="0" distL="0" distR="0">
            <wp:extent cx="6858000" cy="3448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448050"/>
                    </a:xfrm>
                    <a:prstGeom prst="rect">
                      <a:avLst/>
                    </a:prstGeom>
                  </pic:spPr>
                </pic:pic>
              </a:graphicData>
            </a:graphic>
          </wp:inline>
        </w:drawing>
      </w:r>
      <w:r>
        <w:rPr/>
        <w:t> </w:t>
      </w:r>
    </w:p>
    <w:p>
      <w:pPr>
        <w:pStyle w:val="TextBody"/>
        <w:spacing w:before="120" w:after="0"/>
        <w:jc w:val="left"/>
        <w:rPr>
          <w:rFonts w:ascii="Times New Roman" w:hAnsi="Times New Roman"/>
          <w:sz w:val="20"/>
        </w:rPr>
      </w:pPr>
      <w:r>
        <w:rPr>
          <w:rFonts w:ascii="Times New Roman;serif" w:hAnsi="Times New Roman;serif"/>
          <w:b w:val="false"/>
          <w:sz w:val="16"/>
        </w:rPr>
        <w:t xml:space="preserve">Source: variant of Fig 7 A and B from Bailey RM, Armao D, Kalburgi SN, Gray SJ (2018) </w:t>
      </w:r>
      <w:r>
        <w:rPr>
          <w:rFonts w:ascii="Times New Roman;serif" w:hAnsi="Times New Roman;serif"/>
          <w:b/>
          <w:sz w:val="16"/>
        </w:rPr>
        <w:t>Development of Intrathecal Aav9 Gene Therapy for Giant Axonal Neuropathy</w:t>
      </w:r>
      <w:r>
        <w:rPr>
          <w:rFonts w:ascii="Times New Roman;serif" w:hAnsi="Times New Roman;serif"/>
          <w:b w:val="false"/>
          <w:sz w:val="16"/>
        </w:rPr>
        <w:t>. Molecular Therapy-Methods &amp; Clinical Development 9160-171.</w:t>
      </w:r>
    </w:p>
    <w:p>
      <w:pPr>
        <w:pStyle w:val="TextBody"/>
        <w:spacing w:before="160" w:after="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Results of Ongoing Phase 1/2 Clinical Trial</w:t>
      </w:r>
    </w:p>
    <w:p>
      <w:pPr>
        <w:pStyle w:val="TextBody"/>
        <w:spacing w:before="120" w:after="0"/>
        <w:jc w:val="left"/>
        <w:rPr>
          <w:rFonts w:ascii="Times New Roman" w:hAnsi="Times New Roman"/>
          <w:sz w:val="20"/>
        </w:rPr>
      </w:pPr>
      <w:r>
        <w:rPr>
          <w:rFonts w:ascii="Times New Roman;serif" w:hAnsi="Times New Roman;serif"/>
          <w:b w:val="false"/>
          <w:sz w:val="20"/>
        </w:rPr>
        <w:t>A Phase 1/2 clinical trial of TSHA-120 is being conducted by the NIH under an accepted IND. The ongoing trial is a single-site, open-label, non-randomized, dose-escalation trial, in which patients are intrathecally dosed with one of four dose levels of TSHA-120 – 3.5x10</w:t>
      </w:r>
      <w:r>
        <w:rPr>
          <w:rFonts w:ascii="Times New Roman;serif" w:hAnsi="Times New Roman;serif"/>
          <w:b w:val="false"/>
          <w:sz w:val="13"/>
        </w:rPr>
        <w:t>13</w:t>
      </w:r>
      <w:r>
        <w:rPr>
          <w:rFonts w:ascii="Times New Roman" w:hAnsi="Times New Roman"/>
          <w:sz w:val="20"/>
        </w:rPr>
        <w:t xml:space="preserve"> </w:t>
      </w:r>
      <w:r>
        <w:rPr>
          <w:rFonts w:ascii="Times New Roman;serif" w:hAnsi="Times New Roman;serif"/>
          <w:b w:val="false"/>
          <w:sz w:val="20"/>
        </w:rPr>
        <w:t>total vg, 1.2x10</w:t>
      </w:r>
      <w:r>
        <w:rPr>
          <w:rFonts w:ascii="Times New Roman;serif" w:hAnsi="Times New Roman;serif"/>
          <w:b w:val="false"/>
          <w:sz w:val="13"/>
        </w:rPr>
        <w:t xml:space="preserve">14 </w:t>
      </w:r>
      <w:r>
        <w:rPr>
          <w:rFonts w:ascii="Times New Roman;serif" w:hAnsi="Times New Roman;serif"/>
          <w:b w:val="false"/>
          <w:sz w:val="20"/>
        </w:rPr>
        <w:t>total vg, 1.8x10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or 3.5x10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(by dot blot). The primary endpoint is to assess safety, with secondary endpoints measuring efficacy using pathologic, physiologic, functional, and clinical markers. To date, 14 patients have been intrathecally dosed and 12 patients have up to three years’ worth of long-term follow up data. The pre-treatment period interval between visits in these patients ranged from 3.7 to 31.5 months, with patients having at least two visits before being treated. A calculated yearly natural history decline was based on this data and served as a comparison for all post-treatment analysis.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primary Bayesian efficacy analysis for MFM32 was conducted in the per protocol population, by dose group, at Year 1 post-dosing interval. Hierarchical models for repeated measures were used to estimate posterior distributions for change in slope of the total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MFM32 percent score compared to pre-treatment decline in trial participants. Frequentist analysis of change from baseline in total MFM32 percent score was also performed, by dose group, using linear mixed models.</w:t>
      </w:r>
    </w:p>
    <w:p>
      <w:pPr>
        <w:pStyle w:val="TextBody"/>
        <w:spacing w:before="240" w:after="360"/>
        <w:jc w:val="left"/>
        <w:rPr>
          <w:rFonts w:ascii="Times New Roman;serif" w:hAnsi="Times New Roman;serif"/>
          <w:b w:val="false"/>
          <w:sz w:val="20"/>
        </w:rPr>
      </w:pPr>
      <w:r>
        <w:rPr>
          <w:rFonts w:ascii="Times New Roman;serif" w:hAnsi="Times New Roman;serif"/>
          <w:b w:val="false"/>
          <w:sz w:val="20"/>
        </w:rPr>
        <w:t>The change in the rate of decline in the MFM32 score of all therapeutic doses combined (n=12) showed the change in the rate of decline in the MFM32 score slowed by 5.20% points (p=0.0022), compared with the annualized pre-gene transfer rate of decline of 7.73% points.</w:t>
      </w:r>
    </w:p>
    <w:p>
      <w:pPr>
        <w:pStyle w:val="TextBody"/>
        <w:spacing w:before="240" w:after="360"/>
        <w:jc w:val="left"/>
        <w:rPr/>
      </w:pPr>
      <w:r>
        <w:rPr/>
        <w:drawing>
          <wp:inline distT="0" distB="0" distL="0" distR="0">
            <wp:extent cx="7029450" cy="2867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029450" cy="2867025"/>
                    </a:xfrm>
                    <a:prstGeom prst="rect">
                      <a:avLst/>
                    </a:prstGeom>
                  </pic:spPr>
                </pic:pic>
              </a:graphicData>
            </a:graphic>
          </wp:inline>
        </w:drawing>
      </w:r>
      <w:r>
        <w:rPr/>
        <w:t> </w:t>
      </w:r>
    </w:p>
    <w:p>
      <w:pPr>
        <w:pStyle w:val="TextBody"/>
        <w:spacing w:before="120" w:after="360"/>
        <w:jc w:val="left"/>
        <w:rPr>
          <w:rFonts w:ascii="Times New Roman;serif" w:hAnsi="Times New Roman;serif"/>
          <w:b w:val="false"/>
          <w:sz w:val="16"/>
        </w:rPr>
      </w:pPr>
      <w:r>
        <w:rPr>
          <w:rFonts w:ascii="Times New Roman;serif" w:hAnsi="Times New Roman;serif"/>
          <w:b w:val="false"/>
          <w:sz w:val="16"/>
        </w:rPr>
        <w:t>Source: Preliminary analysis with a data cut as of July 2022</w:t>
      </w:r>
    </w:p>
    <w:p>
      <w:pPr>
        <w:pStyle w:val="TextBody"/>
        <w:spacing w:before="240" w:after="0"/>
        <w:jc w:val="left"/>
        <w:rPr>
          <w:rFonts w:ascii="Times New Roman" w:hAnsi="Times New Roman"/>
          <w:sz w:val="20"/>
        </w:rPr>
      </w:pPr>
      <w:r>
        <w:rPr>
          <w:rFonts w:ascii="Times New Roman;serif" w:hAnsi="Times New Roman;serif"/>
          <w:b w:val="false"/>
          <w:sz w:val="20"/>
        </w:rPr>
        <w:t>A Bayesian analysis was conducted on the 1.2x10</w:t>
      </w:r>
      <w:r>
        <w:rPr>
          <w:rFonts w:ascii="Times New Roman;serif" w:hAnsi="Times New Roman;serif"/>
          <w:b w:val="false"/>
          <w:sz w:val="13"/>
        </w:rPr>
        <w:t xml:space="preserve">14 </w:t>
      </w:r>
      <w:r>
        <w:rPr>
          <w:rFonts w:ascii="Times New Roman;serif" w:hAnsi="Times New Roman;serif"/>
          <w:b w:val="false"/>
          <w:sz w:val="20"/>
        </w:rPr>
        <w:t>total vg, 1.8x10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and 3.5x10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dose cohorts at Year 1 to assess the probability of clinically meaningful slowing of disease progression as compared to natural history. This type of statistical analysis enables direct probability statements to be made and is both useful and accepted by regulatory agencies in interventional studies of rare diseases and small patient populations. As shown in the table below, for all therapeutic dose cohorts, there was nearly 100% probability of any slowing of disease and a 79.4% probability of clinically meaningful slowing of 50% or more following treatment with TSHA-120 compared to natural history data.</w:t>
      </w:r>
    </w:p>
    <w:p>
      <w:pPr>
        <w:pStyle w:val="TextBody"/>
        <w:spacing w:before="0" w:after="0"/>
        <w:jc w:val="left"/>
        <w:rPr/>
      </w:pPr>
      <w:r>
        <w:rPr/>
        <w:t> </w:t>
      </w:r>
    </w:p>
    <w:p>
      <w:pPr>
        <w:pStyle w:val="TextBody"/>
        <w:spacing w:before="0" w:after="0"/>
        <w:jc w:val="center"/>
        <w:rPr/>
      </w:pPr>
      <w:r>
        <w:rPr/>
        <w:drawing>
          <wp:inline distT="0" distB="0" distL="0" distR="0">
            <wp:extent cx="5286375" cy="1390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86375" cy="1390650"/>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Source: Variant of Table 12 from Appendix 3 of the Type B End-of-Phase 2 Meeting package submitted to the FDA in Oct-2022 and held Dec2022.</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There remained consistent improvement in TSHA-120’s effect over time on the mean change from baseline in the MFM32 score for patients in the therapeutic dose cohorts compared to their estimated decline over the years in the pre-treatment period. Analysis of long-term MFM total (%) scores showed slowing of disease progression by 2.49% (p=0.0065) points on the MFM% total score, as seen in the chart below.</w:t>
      </w:r>
    </w:p>
    <w:p>
      <w:pPr>
        <w:pStyle w:val="TextBody"/>
        <w:spacing w:before="0" w:after="0"/>
        <w:jc w:val="left"/>
        <w:rPr/>
      </w:pPr>
      <w:r>
        <w:rPr/>
        <w:t> </w:t>
      </w:r>
    </w:p>
    <w:p>
      <w:pPr>
        <w:pStyle w:val="TextBody"/>
        <w:spacing w:before="0" w:after="0"/>
        <w:jc w:val="left"/>
        <w:rPr/>
      </w:pPr>
      <w:r>
        <w:rPr/>
        <w:drawing>
          <wp:inline distT="0" distB="0" distL="0" distR="0">
            <wp:extent cx="7105650" cy="2790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05650" cy="2790825"/>
                    </a:xfrm>
                    <a:prstGeom prst="rect">
                      <a:avLst/>
                    </a:prstGeom>
                  </pic:spPr>
                </pic:pic>
              </a:graphicData>
            </a:graphic>
          </wp:inline>
        </w:drawing>
      </w:r>
      <w:r>
        <w:rPr>
          <w:rFonts w:ascii="Times New Roman;serif" w:hAnsi="Times New Roman;serif"/>
          <w:b w:val="false"/>
          <w:sz w:val="16"/>
        </w:rPr>
        <w:t>Source: Preliminary analysis with a data cut as of July 2022</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Additional Endpoints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additional endpoints have been collected in this clinical trial pre-and post-treatment and long-term follow up data is being collected. Most data transfer from NIH have been recently completed and we have been performing quality control and additional analyses on the data. Other endpoints are being analyzed, including objective measures such as nerve fiber density in skin biopsies, brain and spine MRI white matter and volumetric measures, sensory and motor nerve conduction studies, electro impedance myography, and nerve biopsies; as well as clinically relevant effort-dependent measures such as FARS (ataxia scale), NIS (neuropathy scale).</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Safety and Tolerability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TSHA-120 has been well-tolerated at multiple doses with no signs of significant acute or subacute inflammation, no sudden sensory changes and no drug-related or persisting transaminitis. Adverse events related to immunosuppression or study procedures were similar to what has been seen with other gene therapies and transient in nature. There was no increase in incidence of adverse events with increased dose. Importantly, TSHA-120 was safely dosed in the presence of neutralizing antibodies as a result of the combination of route of administration, dosing and immunosuppression regimen.</w:t>
      </w:r>
    </w:p>
    <w:p>
      <w:pPr>
        <w:pStyle w:val="TextBody"/>
        <w:spacing w:before="0" w:after="0"/>
        <w:jc w:val="left"/>
        <w:rPr/>
      </w:pPr>
      <w:r>
        <w:rPr/>
        <w:t> </w:t>
      </w:r>
    </w:p>
    <w:p>
      <w:pPr>
        <w:pStyle w:val="TextBody"/>
        <w:spacing w:before="120" w:after="0"/>
        <w:jc w:val="center"/>
        <w:rPr/>
      </w:pPr>
      <w:r>
        <w:rPr/>
        <w:drawing>
          <wp:inline distT="0" distB="0" distL="0" distR="0">
            <wp:extent cx="4048125" cy="27432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048125" cy="274320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Source: NIH</w:t>
      </w:r>
    </w:p>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currently have up to six years of longitudinal data in individual patients with GAN from our ongoing clinical study. Treatment with TSHA-120 was well-tolerated with no significant safety issues. There was no increase in incidence of adverse events with increased dose, no dose-limiting toxicity, no signs of acute or subacute inflammation, no sudden sensory changes and no drug-related or persistent elevation of transaminases. Adverse events related to immunosuppression or study procedures were similar to what was seen with other gene therapies and transient in nature.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order to deliver a robust CMC data package to support licensure discussions, we have successfully completed six development and GMP lots of TSHA-120 with our contract development and manufacturing organization, or CDMO, partner. We have also completed a comprehensive side-by-side biochemical and biophysical analysis of current and previous clinical lots. Our CDMO utilizes the same Pro10TM manufacturing platform used to produce the original GAN lots, which is intended to reduce comparability risk. Five development lots ranging from 2L to 250L scale and one full-scale 500L GMP lot were analyzed side-by-side with the current TSHA-120 clinical lot using a comprehensive analytical panel that is expected to meet current regulatory requirements including assays for critical attributes such as product and process residuals, empty/full ratio, genetic integrity, potency and strength.</w:t>
      </w:r>
    </w:p>
    <w:p>
      <w:pPr>
        <w:pStyle w:val="TextBody"/>
        <w:spacing w:before="240" w:after="0"/>
        <w:jc w:val="left"/>
        <w:rPr>
          <w:rFonts w:ascii="Times New Roman" w:hAnsi="Times New Roman"/>
          <w:sz w:val="20"/>
        </w:rPr>
      </w:pPr>
      <w:r>
        <w:rPr>
          <w:rFonts w:ascii="Times New Roman;serif" w:hAnsi="Times New Roman;serif"/>
          <w:b w:val="false"/>
          <w:sz w:val="20"/>
        </w:rPr>
        <w:t>The TSHA-120 pivotal lot, which yielded over 50 patient doses of TSHA-120 at the highest dose cohort of 1.0x10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vg by ddPCR, was released in November 2022. This material positions us for future BLA-enabling activities and commercial production. These lots were also placed on stability to provide critical shelf-life data in support of our BLA filing.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September 2021, we submitted a request for a Scientific Advice meeting for TSHA-120 to the MHRA and were granted a meeting in January 2022. The MHRA agreed on our commercial manufacturing and release assay testing strategy including potency assays. Finally, the MHRA was supportive of our proposal to perform validation work on MFM32 for GAN as a key clinical endpoint and for us to explore the MFM32 items with patients and families as part of this process. In September 2022, we submitted a meeting request to the FDA and were granted a Type B end-of-Phase 2 meeting via teleconference on December 13, 2022. In January 2023, we reported feedback from the Type B end-of-Phase 2 meeting with the FDA following receipt of the formal meeting minutes. The FDA provided additional clarity for TSHA-120 where MFM32 was acknowledged as an acceptable endpoint with a recommendation to dose additional patients in a double-blind, placebo-controlled design to support a BLA. The FDA acknowledged our overall approach to manufacturing of commercial material was deemed appropriate pending review of a planned CMC data package for TSHA-120. Subsequently, we submitted follow up questions in response to the formal meeting minutes. The FDA clarified MFM32 as a relevant primary endpoint in the setting of a controlled trial and acknowledged our challenge in designing such study due to the ultra-rare nature of GAN. The FDA was open to acceptance of more uncertainty due to difficulty in enrolling a sufficient number of patients and regulatory flexibility in a controlled trial setting. In addition, the FDA indicated it was willing to consider alternative study designs utilizing objective measurements to demonstrate a relatively large treatment effect that is self-evident and clinically meaningful. The FDA acknowledged that the size of the safety database will be a review issue and acceptance of the existing safety data from treated patients will depend on demonstration of product comparability. We have completed the CMC module 3 amendment submission detailing drug comparability data and are awaiting FDA feedback.</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TSHA-102 for Rett Syndrome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TSHA-102 is a self-complementary intrathecally delivered AAV9 gene transfer therapy product candidate in clinical evaluation for Rett syndrome, a neurodevelopmental disorder and one of the most common genetic causes of severe intellectual disability, characterized by rapid developmental regression and in many cases caused by heterozygous loss of function mutations in MECP2, a gene essential for neuronal and synaptic function in the brain. TSHA-102 has been designed to prevent gene overexpression-related toxicity by inserting microRNA, or miRNA target binding sites into the 3’ untranslated region of viral genomes. This overexpression of MECP2 is seen clinically in patients with a condition known as MECP2 duplication syndrome, where elevated levels of MECP2 result in a clinical phenotype similar to Rett syndrome both in terms of symptoms and severity. TSHA-102 is constructed from a neuronal specific promoter, MeP426, coupled with the miniMECP2 transgene, a truncated version of MECP2, and miRNA-Responsive Auto-Regulatory Element, or miRARE, our novel miRNA target panel, packaged in self-complementary AAV9, which enables cellular regulation of both endogenous and exogenous MECP2 expression. According to the Rett Syndrome Research Trust, Rett syndrome affects more than 350,000 patients worldwide. The estimated addressable patient population with typical Rett syndrome caused by a pathogenic/likely pathogenic MECP2 mutation is between 15,000 and 20,000 patients in the United States, European Union and United Kingdom.</w:t>
      </w:r>
    </w:p>
    <w:p>
      <w:pPr>
        <w:pStyle w:val="TextBody"/>
        <w:spacing w:before="240" w:after="0"/>
        <w:jc w:val="left"/>
        <w:rPr>
          <w:rFonts w:ascii="Times New Roman" w:hAnsi="Times New Roman"/>
          <w:sz w:val="20"/>
        </w:rPr>
      </w:pPr>
      <w:r>
        <w:rPr>
          <w:rFonts w:ascii="Times New Roman;serif" w:hAnsi="Times New Roman;serif"/>
          <w:b w:val="false"/>
          <w:sz w:val="20"/>
        </w:rPr>
        <w:t xml:space="preserve">In May 2021, preclinical data for TSHA-102 were published online in </w:t>
      </w:r>
      <w:r>
        <w:rPr>
          <w:rFonts w:ascii="Times New Roman;serif" w:hAnsi="Times New Roman;serif"/>
          <w:b w:val="false"/>
          <w:i/>
          <w:sz w:val="20"/>
        </w:rPr>
        <w:t>Brain</w:t>
      </w:r>
      <w:r>
        <w:rPr>
          <w:rFonts w:ascii="Times New Roman;serif" w:hAnsi="Times New Roman;serif"/>
          <w:b w:val="false"/>
          <w:sz w:val="20"/>
        </w:rPr>
        <w:t>, a highly esteemed neurological science peer-reviewed journal. The preclinical study was conducted by the UT Southwestern Medical Center laboratory of Sarah Sinnett, Ph.D., and evaluated the safety and efficacy of regulated miniMECP2 gene transfer, TSHA-102 (AAV9/miniMECP2-miRARE), via IT administration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adolescent mice between four and five weeks of age. TSHA-102 was compared to unregulated full length MECP2 (AAV9/MECP2) and unregulated miniMECP2 (AAV9/miniMECP2).</w:t>
      </w:r>
    </w:p>
    <w:p>
      <w:pPr>
        <w:pStyle w:val="TextBody"/>
        <w:spacing w:before="240" w:after="0"/>
        <w:jc w:val="left"/>
        <w:rPr>
          <w:rFonts w:ascii="Times New Roman" w:hAnsi="Times New Roman"/>
          <w:sz w:val="20"/>
        </w:rPr>
      </w:pPr>
      <w:r>
        <w:rPr>
          <w:rFonts w:ascii="Times New Roman;serif" w:hAnsi="Times New Roman;serif"/>
          <w:b w:val="false"/>
          <w:sz w:val="20"/>
        </w:rPr>
        <w:t>TSHA-102 extended survival of KO (MECP2</w:t>
      </w:r>
      <w:r>
        <w:rPr>
          <w:rFonts w:ascii="Times New Roman" w:hAnsi="Times New Roman"/>
          <w:sz w:val="20"/>
        </w:rPr>
        <w:t xml:space="preserve"> </w:t>
      </w:r>
      <w:r>
        <w:rPr>
          <w:rFonts w:ascii="Times New Roman;serif" w:hAnsi="Times New Roman;serif"/>
          <w:b w:val="false"/>
          <w:sz w:val="13"/>
        </w:rPr>
        <w:t>-/y</w:t>
      </w:r>
      <w:r>
        <w:rPr>
          <w:rFonts w:ascii="Times New Roman;serif" w:hAnsi="Times New Roman;serif"/>
          <w:b w:val="false"/>
          <w:sz w:val="20"/>
        </w:rPr>
        <w:t>) mice</w:t>
      </w:r>
      <w:r>
        <w:rPr>
          <w:rFonts w:ascii="Times New Roman" w:hAnsi="Times New Roman"/>
          <w:sz w:val="20"/>
        </w:rPr>
        <w:t xml:space="preserve"> </w:t>
      </w:r>
      <w:r>
        <w:rPr>
          <w:rFonts w:ascii="Times New Roman;serif" w:hAnsi="Times New Roman;serif"/>
          <w:b w:val="false"/>
          <w:sz w:val="20"/>
        </w:rPr>
        <w:t>by 56% via IT delivery. In contrast, the unregulated miniMECP2 gene transfer failed to significantly extend KO survival at all doses tested. Additionally, the unregulated full-length MECP2 construct did not demonstrate a significant extension in survival and was associated with an unacceptable toxicity profile in wild type mice.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to survival, behavioral side effects were explored. Mice were subjected to phenotypic scoring and a battery of tests including gait, hindlimb clasping, tremor and others to comprise an aggregate behavioral score. miRARE attenuated miniMECP2-mediated aggravation in wild type aggregate phenotype severity scores. Mice were scored on an aggregate severity scale using an established protocol. AAV9/MECP2- and AAV9/miniMECP2-treated wild type mice had a significantly higher mean (worse) aggregate behavioral severity score versus that observed for saline-treated mice (p &lt;0.05; at 6–30 and 7–27 weeks of age, respectively). TSHA-102-treated wild type mice had a significantly lower (better) mean aggregate severity score versus those of AAV9/MECP2- and AAV9/miniMECP2-treated mice at most timepoints from 11–19 and 9–20 weeks of age, respectively. No significant difference was observed between saline- and TSHA-102-treated wild type mice.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miRARE-mediated genotype-dependent gene regulation was demonstrated by analyzing tissue sections from wild type and KO mice treated with AAV9 vectors given intrathecally. When KO mice were injected with a vector expressing the mini-MECP2 transgene with and without the miRARE element, miRARE reduced overall miniMECP2 transgene expression compared to unregulated miniMECP2 in wild type mice as shown below.</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graph on the left depicts KO mice treated with regulated and unregulated vectors showed equivalent vector DNA biodistribution, confirming matched titers and injection accuracy (n = 3-8 mice per bar).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graph on the right depicts miRARE significantly decreased transgene expression versus that conferred by the unregulated vector construct (n = 6-8 mice per bar; P &lt; 0.05 for brain, cervical cord, or CC, thoracic cord, or TC, and lumbar cord, or LC).</w:t>
      </w:r>
    </w:p>
    <w:p>
      <w:pPr>
        <w:pStyle w:val="TextBody"/>
        <w:spacing w:before="0" w:after="0"/>
        <w:jc w:val="left"/>
        <w:rPr/>
      </w:pPr>
      <w:r>
        <w:rPr/>
        <w:t> </w:t>
      </w:r>
    </w:p>
    <w:p>
      <w:pPr>
        <w:pStyle w:val="TextBody"/>
        <w:spacing w:before="0" w:after="0"/>
        <w:jc w:val="center"/>
        <w:rPr/>
      </w:pPr>
      <w:r>
        <w:rPr/>
        <w:drawing>
          <wp:inline distT="0" distB="0" distL="0" distR="0">
            <wp:extent cx="6562725" cy="3190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562725" cy="319087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Source: Variant of Supplemental Fig 6B and C from Sinnett et al 2021</w:t>
      </w:r>
    </w:p>
    <w:p>
      <w:pPr>
        <w:pStyle w:val="TextBody"/>
        <w:spacing w:before="12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TSHA-102 demonstrated regulated expression in different regions of the brain. As shown in the graph and photos below, in the pons and midbrain, miRARE inhibited mean MECP2 gene expression in a genotype-dependent manner as indicated by significantly fewer myc(+) cells observed in wild type mice compared to KO mice (p&lt;0.05), thereby demonstrating that TSHA-102 achieved MECP2 expression levels similar to normal physiological parameters.</w:t>
      </w:r>
    </w:p>
    <w:p>
      <w:pPr>
        <w:pStyle w:val="TextBody"/>
        <w:spacing w:before="0" w:after="0"/>
        <w:jc w:val="left"/>
        <w:rPr/>
      </w:pPr>
      <w:r>
        <w:rPr/>
        <w:t> </w:t>
      </w:r>
    </w:p>
    <w:p>
      <w:pPr>
        <w:pStyle w:val="TextBody"/>
        <w:spacing w:before="120" w:after="0"/>
        <w:jc w:val="center"/>
        <w:rPr/>
      </w:pPr>
      <w:r>
        <w:rPr/>
        <w:drawing>
          <wp:inline distT="0" distB="0" distL="0" distR="0">
            <wp:extent cx="5181600" cy="3181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181600" cy="3181350"/>
                    </a:xfrm>
                    <a:prstGeom prst="rect">
                      <a:avLst/>
                    </a:prstGeom>
                  </pic:spPr>
                </pic:pic>
              </a:graphicData>
            </a:graphic>
          </wp:inline>
        </w:drawing>
      </w:r>
      <w:r>
        <w:rPr/>
        <w:t>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Source: Variant of Fig 6B from Sinnett SE, Boyle E, Lyons C, Gray SJ. Engineered microRNA-based regulatory element permits safe high-dose miniMECP2 gene therapy in Rett mice. Brain. 2021; 144(10): 3005-3019</w:t>
      </w:r>
    </w:p>
    <w:p>
      <w:pPr>
        <w:pStyle w:val="TextBody"/>
        <w:spacing w:before="360" w:after="0"/>
        <w:jc w:val="center"/>
        <w:rPr/>
      </w:pPr>
      <w:r>
        <w:rPr/>
        <w:t> </w:t>
      </w:r>
    </w:p>
    <w:p>
      <w:pPr>
        <w:pStyle w:val="TextBody"/>
        <w:spacing w:before="360" w:after="0"/>
        <w:jc w:val="center"/>
        <w:rPr/>
      </w:pPr>
      <w:r>
        <w:rPr/>
        <w:drawing>
          <wp:inline distT="0" distB="0" distL="0" distR="0">
            <wp:extent cx="5324475" cy="2571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324475" cy="2571750"/>
                    </a:xfrm>
                    <a:prstGeom prst="rect">
                      <a:avLst/>
                    </a:prstGeom>
                  </pic:spPr>
                </pic:pic>
              </a:graphicData>
            </a:graphic>
          </wp:inline>
        </w:drawing>
      </w:r>
      <w:r>
        <w:rPr/>
        <w:t> </w:t>
      </w:r>
    </w:p>
    <w:p>
      <w:pPr>
        <w:pStyle w:val="TextBody"/>
        <w:spacing w:before="360" w:after="0"/>
        <w:jc w:val="left"/>
        <w:rPr>
          <w:rFonts w:ascii="Times New Roman" w:hAnsi="Times New Roman"/>
          <w:sz w:val="20"/>
        </w:rPr>
      </w:pPr>
      <w:r>
        <w:rPr>
          <w:rFonts w:ascii="Times New Roman;serif" w:hAnsi="Times New Roman;serif"/>
          <w:b w:val="false"/>
          <w:sz w:val="16"/>
        </w:rPr>
        <w:t xml:space="preserve">Source: Figure 6C from Sinnett SE, Boyle E, Lyons C, Gray SJ. Engineered microRNA-based regulatory element permits safe high-dose miniMECP2 gene therapy in Rett mice. </w:t>
      </w:r>
      <w:r>
        <w:rPr>
          <w:rFonts w:ascii="Times New Roman;serif" w:hAnsi="Times New Roman;serif"/>
          <w:b w:val="false"/>
          <w:i/>
          <w:sz w:val="16"/>
        </w:rPr>
        <w:t>Brain</w:t>
      </w:r>
      <w:r>
        <w:rPr>
          <w:rFonts w:ascii="Times New Roman;serif" w:hAnsi="Times New Roman;serif"/>
          <w:b w:val="false"/>
          <w:sz w:val="16"/>
        </w:rPr>
        <w:t>. 2021; 144(10): 3005-3019.</w:t>
      </w:r>
    </w:p>
    <w:p>
      <w:pPr>
        <w:pStyle w:val="TextBody"/>
        <w:spacing w:before="360" w:after="0"/>
        <w:jc w:val="left"/>
        <w:rPr>
          <w:rFonts w:ascii="Times New Roman" w:hAnsi="Times New Roman"/>
          <w:sz w:val="20"/>
        </w:rPr>
      </w:pPr>
      <w:r>
        <w:rPr>
          <w:rFonts w:ascii="Times New Roman;serif" w:hAnsi="Times New Roman;serif"/>
          <w:b w:val="false"/>
          <w:sz w:val="20"/>
        </w:rPr>
        <w:t>In preclinical animal models, intrathecal myc-tagged TSHA-102 was not associated with early death and did not cause adverse behavioral side effects in wild type mice demonstrating appropriate downregulation of miniMECP2 protein expression as compared to unregulated MECP2 gene therapy constructs. In addition, preclinical data demonstrated that miRARE reduced overall expression of miniMECP2 transgene expression and regulated genotype-dependent myc-tagged miniMECP2 expression across different brain regions on a cell-by-cell basis and improved the safety of TSHA-102 without compromising efficacy in juvenile mice. Pharmacologic activity of TSHA-102 following IT administration was assessed in the MECP2 knockout mouse model of Rett syndrome across three dose levels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val="false"/>
          <w:sz w:val="20"/>
        </w:rPr>
        <w:t>three age groups (n=252). A one-time IT injection of TSHA-102 significantly increased survival at all dose levels, with the mid to high doses improving survival across all age groups compared to vehicle-treated controls. Treatment with TSHA-102 significantly improved body weight, motor function and respiratory assessments in MECP2 KO mice. An additional study in neonatal mice (n=45) was completed and data showed prolonged survival. Finally, IND/CTA-enabling 6-month GLP toxicology studies examined the biodistribution, toxicological effects and mechanism of action of TSHA-102 when intrathecally administered to NHP and rats in three dose levels, up to 2.0x10</w:t>
      </w:r>
      <w:r>
        <w:rPr>
          <w:rFonts w:ascii="Times New Roman;serif" w:hAnsi="Times New Roman;serif"/>
          <w:b w:val="false"/>
          <w:sz w:val="13"/>
        </w:rPr>
        <w:t>15</w:t>
      </w:r>
      <w:r>
        <w:rPr>
          <w:rFonts w:ascii="Times New Roman" w:hAnsi="Times New Roman"/>
          <w:sz w:val="20"/>
        </w:rPr>
        <w:t xml:space="preserve"> </w:t>
      </w:r>
      <w:r>
        <w:rPr>
          <w:rFonts w:ascii="Times New Roman;serif" w:hAnsi="Times New Roman;serif"/>
          <w:b w:val="false"/>
          <w:sz w:val="20"/>
        </w:rPr>
        <w:t>vg/animal, which was well tolerated in both WT species. Biodistribution, as reflected by DNA copy number, was observed in multiple areas of the brain, sections of spinal cord and the DRG as shown below.</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HelveticaNeueLT Pro 55 Roman;sans-serif" w:hAnsi="HelveticaNeueLT Pro 55 Roman;sans-serif"/>
          <w:b/>
          <w:sz w:val="24"/>
        </w:rPr>
        <w:t>NHP Toxicology Study - Broad biodistribution to brain and spinal cord</w:t>
      </w:r>
      <w:r>
        <w:rPr>
          <w:rFonts w:ascii="Times New Roman" w:hAnsi="Times New Roman"/>
          <w:sz w:val="20"/>
        </w:rPr>
        <w:t xml:space="preserve"> </w:t>
      </w:r>
    </w:p>
    <w:p>
      <w:pPr>
        <w:pStyle w:val="TextBody"/>
        <w:spacing w:before="0" w:after="0"/>
        <w:jc w:val="center"/>
        <w:rPr/>
      </w:pPr>
      <w:r>
        <w:rPr/>
        <w:drawing>
          <wp:inline distT="0" distB="0" distL="0" distR="0">
            <wp:extent cx="5772150" cy="2228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72150" cy="2228850"/>
                    </a:xfrm>
                    <a:prstGeom prst="rect">
                      <a:avLst/>
                    </a:prstGeom>
                  </pic:spPr>
                </pic:pic>
              </a:graphicData>
            </a:graphic>
          </wp:inline>
        </w:drawing>
      </w:r>
      <w:r>
        <w:rPr/>
        <w:t> </w:t>
      </w:r>
    </w:p>
    <w:p>
      <w:pPr>
        <w:pStyle w:val="TextBody"/>
        <w:spacing w:before="160" w:after="0"/>
        <w:jc w:val="left"/>
        <w:rPr>
          <w:rFonts w:ascii="Times New Roman;serif" w:hAnsi="Times New Roman;serif"/>
          <w:b w:val="false"/>
          <w:sz w:val="16"/>
        </w:rPr>
      </w:pPr>
      <w:r>
        <w:rPr>
          <w:rFonts w:ascii="Times New Roman;serif" w:hAnsi="Times New Roman;serif"/>
          <w:b w:val="false"/>
          <w:sz w:val="16"/>
        </w:rPr>
        <w:t>Source: Company data</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Importantly, mRNA levels across multiple tissues were low, indicating miRARE regulation is minimizing transgene expression from the construct in the presence of endogenous MECP2 as expected, despite the high levels of DNA that were delivered. No toxicity from transgene overexpression was observed, confirmed by functional and histopathologic evaluations demonstrating no detrimental change in neurobehavioral assessments and no adverse tissue findings on necropsy.</w:t>
      </w:r>
    </w:p>
    <w:p>
      <w:pPr>
        <w:pStyle w:val="TextBody"/>
        <w:spacing w:before="240" w:after="0"/>
        <w:jc w:val="left"/>
        <w:rPr>
          <w:rFonts w:ascii="Times New Roman" w:hAnsi="Times New Roman"/>
          <w:sz w:val="20"/>
        </w:rPr>
      </w:pPr>
      <w:r>
        <w:rPr>
          <w:rFonts w:ascii="Times New Roman;serif" w:hAnsi="Times New Roman;serif"/>
          <w:b w:val="false"/>
          <w:sz w:val="20"/>
        </w:rPr>
        <w:t>In a neonatal KO Rett mouse efficacy study, treatment with TSHA-102 resulted in near normalization of survival as shown below. TSHA-102 at the dose of 8.8x10</w:t>
      </w:r>
      <w:r>
        <w:rPr>
          <w:rFonts w:ascii="Times New Roman;serif" w:hAnsi="Times New Roman;serif"/>
          <w:b w:val="false"/>
          <w:sz w:val="13"/>
        </w:rPr>
        <w:t>10</w:t>
      </w:r>
      <w:r>
        <w:rPr>
          <w:rFonts w:ascii="Times New Roman" w:hAnsi="Times New Roman"/>
          <w:sz w:val="20"/>
        </w:rPr>
        <w:t xml:space="preserve"> </w:t>
      </w:r>
      <w:r>
        <w:rPr>
          <w:rFonts w:ascii="Times New Roman;serif" w:hAnsi="Times New Roman;serif"/>
          <w:b w:val="false"/>
          <w:sz w:val="20"/>
        </w:rPr>
        <w:t>vg/mouse, which translates to the Human Equivalent Dose of 2.86x10</w:t>
      </w:r>
      <w:r>
        <w:rPr>
          <w:rFonts w:ascii="Times New Roman;serif" w:hAnsi="Times New Roman;serif"/>
          <w:b w:val="false"/>
          <w:sz w:val="13"/>
        </w:rPr>
        <w:t xml:space="preserve">14 </w:t>
      </w:r>
      <w:r>
        <w:rPr>
          <w:rFonts w:ascii="Times New Roman;serif" w:hAnsi="Times New Roman;serif"/>
          <w:b w:val="false"/>
          <w:sz w:val="20"/>
        </w:rPr>
        <w:t xml:space="preserve">vg/participant significantly improved survival when administered in Postnatal day mice by intracerebroventricular, or ICV, injection. While the longest lived vehicle‐treated </w:t>
      </w:r>
      <w:r>
        <w:rPr>
          <w:rFonts w:ascii="Times New Roman;serif" w:hAnsi="Times New Roman;serif"/>
          <w:b w:val="false"/>
          <w:i/>
          <w:sz w:val="20"/>
        </w:rPr>
        <w:t>Mecp2</w:t>
      </w:r>
      <w:r>
        <w:rPr>
          <w:rFonts w:ascii="Times New Roman" w:hAnsi="Times New Roman"/>
          <w:sz w:val="20"/>
        </w:rPr>
        <w:t>‐</w:t>
      </w:r>
      <w:r>
        <w:rPr>
          <w:rFonts w:ascii="Times New Roman;serif" w:hAnsi="Times New Roman;serif"/>
          <w:b w:val="false"/>
          <w:i/>
          <w:sz w:val="13"/>
        </w:rPr>
        <w:t xml:space="preserve">/Y </w:t>
      </w:r>
      <w:r>
        <w:rPr>
          <w:rFonts w:ascii="Times New Roman;serif" w:hAnsi="Times New Roman;serif"/>
          <w:b w:val="false"/>
          <w:sz w:val="20"/>
        </w:rPr>
        <w:t xml:space="preserve">male survived to 13.3 weeks only, 47% of the treated </w:t>
      </w:r>
      <w:r>
        <w:rPr>
          <w:rFonts w:ascii="Times New Roman;serif" w:hAnsi="Times New Roman;serif"/>
          <w:b w:val="false"/>
          <w:i/>
          <w:sz w:val="20"/>
        </w:rPr>
        <w:t>Mecp2</w:t>
      </w:r>
      <w:r>
        <w:rPr>
          <w:rFonts w:ascii="Times New Roman" w:hAnsi="Times New Roman"/>
          <w:sz w:val="20"/>
        </w:rPr>
        <w:t>‐</w:t>
      </w:r>
      <w:r>
        <w:rPr>
          <w:rFonts w:ascii="Times New Roman;serif" w:hAnsi="Times New Roman;serif"/>
          <w:b w:val="false"/>
          <w:i/>
          <w:sz w:val="13"/>
        </w:rPr>
        <w:t xml:space="preserve">/Y </w:t>
      </w:r>
      <w:r>
        <w:rPr>
          <w:rFonts w:ascii="Times New Roman;serif" w:hAnsi="Times New Roman;serif"/>
          <w:b w:val="false"/>
          <w:sz w:val="20"/>
        </w:rPr>
        <w:t>males survived to 36 weeks of age, which was the conclusion of the study and all subjects were then sacrificed.</w:t>
      </w:r>
    </w:p>
    <w:p>
      <w:pPr>
        <w:pStyle w:val="TextBody"/>
        <w:spacing w:before="0" w:after="0"/>
        <w:jc w:val="left"/>
        <w:rPr/>
      </w:pPr>
      <w:r>
        <w:rPr/>
        <w:t> </w:t>
      </w:r>
    </w:p>
    <w:p>
      <w:pPr>
        <w:pStyle w:val="TextBody"/>
        <w:spacing w:before="160" w:after="0"/>
        <w:jc w:val="center"/>
        <w:rPr/>
      </w:pPr>
      <w:r>
        <w:rPr/>
        <w:drawing>
          <wp:inline distT="0" distB="0" distL="0" distR="0">
            <wp:extent cx="3048000" cy="2286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048000" cy="2286000"/>
                    </a:xfrm>
                    <a:prstGeom prst="rect">
                      <a:avLst/>
                    </a:prstGeom>
                  </pic:spPr>
                </pic:pic>
              </a:graphicData>
            </a:graphic>
          </wp:inline>
        </w:drawing>
      </w:r>
      <w:r>
        <w:rPr/>
        <w:t> </w:t>
      </w:r>
    </w:p>
    <w:p>
      <w:pPr>
        <w:pStyle w:val="TextBody"/>
        <w:spacing w:before="160" w:after="0"/>
        <w:jc w:val="left"/>
        <w:rPr>
          <w:rFonts w:ascii="Times New Roman;serif" w:hAnsi="Times New Roman;serif"/>
          <w:b w:val="false"/>
          <w:sz w:val="16"/>
        </w:rPr>
      </w:pPr>
      <w:r>
        <w:rPr>
          <w:rFonts w:ascii="Times New Roman;serif" w:hAnsi="Times New Roman;serif"/>
          <w:b w:val="false"/>
          <w:sz w:val="16"/>
        </w:rPr>
        <w:t>Source: Company data</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In addition, neonatal KO Rett mice demonstrated normalization of behavior following treatment with TSHA-102 as assessed by the Bird Score, a composite measure of six different phenotypic abilities. KO animals were initially assessed at four weeks of age with a mean Bird Score of four. Over the course of the study, TSHA-102 improved the behaviors (as assessed by the Bird aggregate score) of TSHA-102 treated mice as shown below.</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60" w:after="0"/>
        <w:jc w:val="left"/>
        <w:rPr/>
      </w:pPr>
      <w:r>
        <w:rPr/>
        <w:t> </w:t>
      </w:r>
    </w:p>
    <w:p>
      <w:pPr>
        <w:pStyle w:val="TextBody"/>
        <w:spacing w:before="160" w:after="0"/>
        <w:jc w:val="center"/>
        <w:rPr/>
      </w:pPr>
      <w:r>
        <w:rPr/>
        <w:drawing>
          <wp:inline distT="0" distB="0" distL="0" distR="0">
            <wp:extent cx="4210050" cy="2733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210050" cy="2733675"/>
                    </a:xfrm>
                    <a:prstGeom prst="rect">
                      <a:avLst/>
                    </a:prstGeom>
                  </pic:spPr>
                </pic:pic>
              </a:graphicData>
            </a:graphic>
          </wp:inline>
        </w:drawing>
      </w:r>
      <w:r>
        <w:rPr/>
        <w:t> </w:t>
      </w:r>
    </w:p>
    <w:p>
      <w:pPr>
        <w:pStyle w:val="TextBody"/>
        <w:spacing w:before="160" w:after="0"/>
        <w:jc w:val="left"/>
        <w:rPr>
          <w:rFonts w:ascii="Times New Roman;serif" w:hAnsi="Times New Roman;serif"/>
          <w:b w:val="false"/>
          <w:sz w:val="16"/>
        </w:rPr>
      </w:pPr>
      <w:r>
        <w:rPr>
          <w:rFonts w:ascii="Times New Roman;serif" w:hAnsi="Times New Roman;serif"/>
          <w:b w:val="false"/>
          <w:sz w:val="16"/>
        </w:rPr>
        <w:t>Source: Lyst MJ, Bird A. Rett syndrome: a complex disorder with simple roots. Nat Rev Genet. 2015 May;16(5):261-75. doi: 10.1038/nrg3897. Epub 2015 Mar 3. PMID: 25732612</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As shown in the table below, TSHA-102 demonstrated broad biodistribution to the brain and spinal cord with low mRNA in the tissue of NHPs. Vector genome copy numbers detected in the brain, spinal cord and DRG were appropriately above 1.0 vg/diploid genome. miniMECP2 mRNA measured in the brain, spinal cord and DRG were zero, indicating downregulation of miRNA copies.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summary, we believe the totality of preclinical data generated to date, which includes the mouse pharmacology study to ascertain the minimally effective dose, two toxicology studies (wild type rat and wild type NHP), a mouse distribution and gene expression study, and the recent neonatal mouse data, represents the most robust package supporting clinical advancement of TSHA-102 in Rett syndrome as shown below.</w:t>
      </w:r>
    </w:p>
    <w:p>
      <w:pPr>
        <w:pStyle w:val="TextBody"/>
        <w:spacing w:before="240" w:after="0"/>
        <w:jc w:val="center"/>
        <w:rPr/>
      </w:pPr>
      <w:r>
        <w:rPr/>
        <w:drawing>
          <wp:inline distT="0" distB="0" distL="0" distR="0">
            <wp:extent cx="6848475" cy="25431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48475" cy="2543175"/>
                    </a:xfrm>
                    <a:prstGeom prst="rect">
                      <a:avLst/>
                    </a:prstGeom>
                  </pic:spPr>
                </pic:pic>
              </a:graphicData>
            </a:graphic>
          </wp:inline>
        </w:drawing>
      </w:r>
      <w:r>
        <w:rPr/>
        <w:t> </w:t>
      </w:r>
    </w:p>
    <w:p>
      <w:pPr>
        <w:pStyle w:val="TextBody"/>
        <w:spacing w:before="160" w:after="0"/>
        <w:jc w:val="left"/>
        <w:rPr>
          <w:rFonts w:ascii="Times New Roman;serif" w:hAnsi="Times New Roman;serif"/>
          <w:b w:val="false"/>
          <w:sz w:val="16"/>
        </w:rPr>
      </w:pPr>
      <w:r>
        <w:rPr>
          <w:rFonts w:ascii="Times New Roman;serif" w:hAnsi="Times New Roman;serif"/>
          <w:b w:val="false"/>
          <w:sz w:val="16"/>
        </w:rPr>
        <w:t>Source: Company data</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Safety and biodistribution assessments in NHPs were presented in May 2022 at the International Rett Syndrome Foundation (IRSF) meeting along with the caregiver perspective on Rett syndrome in adulthood. At the ASCEND National Summit, there was an oral presentation on “Putting Patients at the Center.” Finally, mouse pharmacology, rat and NHP toxicology data were presented at the 25th Annual Meeting of the American Society of Gene &amp; Cell Therapy (ASGCT) and the European Society for Gene and Cell Therapy Congress (ESGCT).</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Phase 1/2 REVEAL Clinical Trial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submitted a CTA for TSHA-102 in November 2021 and announced initiation of clinical development under a CTA approved by Health Canada in March 2022. We are advancing TSHA-102 in the REVEAL Phase 1/2 clinical trial, which is an open-label, dose escalation, randomized, multicenter study that will examine the safety and efficacy of TSHA-102 in up to 18 adult female patients with Rett syndrome. In the first cohort, a single 5x10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dose of TSHA-102 will be given intrathecally. The second cohort will be given a 1x10</w:t>
      </w:r>
      <w:r>
        <w:rPr>
          <w:rFonts w:ascii="Times New Roman;serif" w:hAnsi="Times New Roman;serif"/>
          <w:b w:val="false"/>
          <w:sz w:val="13"/>
        </w:rPr>
        <w:t xml:space="preserve">15 </w:t>
      </w:r>
      <w:r>
        <w:rPr>
          <w:rFonts w:ascii="Times New Roman;serif" w:hAnsi="Times New Roman;serif"/>
          <w:b w:val="false"/>
          <w:sz w:val="20"/>
        </w:rPr>
        <w:t>total vg dose of TSHA-102. Key assessments will include Rett-specific and global assessments, quality of life, biomarkers, and neurophysiology and imaging assessments as seen below.</w:t>
      </w:r>
      <w:r>
        <w:rPr>
          <w:rFonts w:ascii="Times New Roman" w:hAnsi="Times New Roman"/>
          <w:sz w:val="20"/>
        </w:rPr>
        <w:t xml:space="preserve"> </w:t>
      </w:r>
    </w:p>
    <w:p>
      <w:pPr>
        <w:pStyle w:val="TextBody"/>
        <w:spacing w:before="120" w:after="0"/>
        <w:jc w:val="left"/>
        <w:rPr/>
      </w:pPr>
      <w:r>
        <w:rPr/>
        <w:drawing>
          <wp:inline distT="0" distB="0" distL="0" distR="0">
            <wp:extent cx="7105650" cy="33432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105650" cy="3343275"/>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Sainte-Justine Mother and Child University Hospital Center in Montreal, Quebec, Canada has been selected as the initial clinical trial site under the direction of Dr. Elsa Rossignol, Assistant Professor Neuroscience and Pediatrics, and Principal Investigator. We expect to dose the first adult patient with Rett syndrome in the first half of 2023, with initial available clinical data expected in the first half of 2023, followed by planned quarterly updates on available clinical data, primarily on safety, thereafter. We anticipate submission of a CTA to the MHRA for TSHA-102 in pediatric patients with Rett syndrome in mid-2023 and plan to submit an IND application for Rett syndrome to the FDA in the second half of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received orphan drug designation and rare pediatric disease designation from the FDA and orphan drug designation from the European Commission for TSHA-102 for the treatment of Rett syndrome.</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Other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at this time deprioritized the evaluation of our preclinical product candidates TSHA-105 for SLC13A5, TSHA-118 for CLN1 and TSHA-121 for CLN7. Although we are not currently evaluating the potential of TSHA-105, TSHA-118 and TSHA-121, we may again evaluate any of these in the future as a product candidate as a component of our pipeline expansion plans, or pursue partnerships to advance these programs.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TSHA-118 for CLN1 Disease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currently available therapeutic approaches for patients with CLN1 disease are targeted towards the treatment of symptoms, and no disease-modifying therapies have been approved. Gene therapy has shown promise in correcting forms of neuronal ceroid lipofuscinoses diseases that involve mutations in soluble enzymes, in part, due to cross-correction of neighboring non-transduced cells.</w:t>
      </w:r>
    </w:p>
    <w:p>
      <w:pPr>
        <w:pStyle w:val="TextBody"/>
        <w:spacing w:before="240" w:after="0"/>
        <w:jc w:val="left"/>
        <w:rPr>
          <w:rFonts w:ascii="Times New Roman" w:hAnsi="Times New Roman"/>
          <w:sz w:val="20"/>
        </w:rPr>
      </w:pPr>
      <w:r>
        <w:rPr>
          <w:rFonts w:ascii="Times New Roman;serif" w:hAnsi="Times New Roman;serif"/>
          <w:b w:val="false"/>
          <w:sz w:val="20"/>
        </w:rPr>
        <w:t xml:space="preserve">We believe that the introduction of a functional </w:t>
      </w:r>
      <w:r>
        <w:rPr>
          <w:rFonts w:ascii="Times New Roman;serif" w:hAnsi="Times New Roman;serif"/>
          <w:b w:val="false"/>
          <w:i/>
          <w:sz w:val="20"/>
        </w:rPr>
        <w:t>CLN1</w:t>
      </w:r>
      <w:r>
        <w:rPr>
          <w:rFonts w:ascii="Times New Roman" w:hAnsi="Times New Roman"/>
          <w:sz w:val="20"/>
        </w:rPr>
        <w:t xml:space="preserve"> </w:t>
      </w:r>
      <w:r>
        <w:rPr>
          <w:rFonts w:ascii="Times New Roman;serif" w:hAnsi="Times New Roman;serif"/>
          <w:b w:val="false"/>
          <w:sz w:val="20"/>
        </w:rPr>
        <w:t>gene using an AAV9 vector delivered intrathecally to the CNS offers the potential of a disease-modifying therapeutic approach for this disease. TSHA-118 is a self-complementary AAV9 viral vector that expresses human codon-optimized CLN1 complementary DNA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TSHA-118 has been granted orphan drug designation, rare pediatric disease designation and fast track designation from the FDA and orphan drug designation from the European Medicines Agency for the treatment of CLN1 disease.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is currently an open IND for the CLN1 program. We submitted a CTA filing for TSHA-118 which was approved by Health Canada in 2021. Clinical trial material has been manufactured and released and is now ready for use in a clinical trial setting.</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TSHA-105 for SLC13A5 Deficiency</w:t>
      </w:r>
    </w:p>
    <w:p>
      <w:pPr>
        <w:pStyle w:val="TextBody"/>
        <w:spacing w:before="120" w:after="0"/>
        <w:jc w:val="left"/>
        <w:rPr>
          <w:rFonts w:ascii="Times New Roman" w:hAnsi="Times New Roman"/>
          <w:sz w:val="20"/>
        </w:rPr>
      </w:pPr>
      <w:r>
        <w:rPr>
          <w:rFonts w:ascii="Times New Roman;serif" w:hAnsi="Times New Roman;serif"/>
          <w:b w:val="false"/>
          <w:sz w:val="20"/>
        </w:rPr>
        <w:t xml:space="preserve">We are developing TSHA-105 for the treatment of SLC13A5 deficiency, a rare autosomal recessive epileptic encephalopathy characterized by the onset of seizures within the first few days of life. SLC13A5 deficiency is caused by bi-allelic loss-of function mutations in the </w:t>
      </w:r>
      <w:r>
        <w:rPr>
          <w:rFonts w:ascii="Times New Roman;serif" w:hAnsi="Times New Roman;serif"/>
          <w:b w:val="false"/>
          <w:i/>
          <w:sz w:val="20"/>
        </w:rPr>
        <w:t>SLC13A5</w:t>
      </w:r>
      <w:r>
        <w:rPr>
          <w:rFonts w:ascii="Times New Roman" w:hAnsi="Times New Roman"/>
          <w:sz w:val="20"/>
        </w:rPr>
        <w:t xml:space="preserve"> </w:t>
      </w:r>
      <w:r>
        <w:rPr>
          <w:rFonts w:ascii="Times New Roman;serif" w:hAnsi="Times New Roman;serif"/>
          <w:b w:val="false"/>
          <w:sz w:val="20"/>
        </w:rPr>
        <w:t>gene, which codes for a sodium dependent citrate transporter, or NaCT, that is largely expressed in the brain and liver. To date, all tested mutations result in no or a greatly reduced amount of the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pStyle w:val="TextBody"/>
        <w:spacing w:before="240" w:after="0"/>
        <w:jc w:val="left"/>
        <w:rPr>
          <w:rFonts w:ascii="Times New Roman" w:hAnsi="Times New Roman"/>
          <w:sz w:val="20"/>
        </w:rPr>
      </w:pPr>
      <w:r>
        <w:rPr>
          <w:rFonts w:ascii="Times New Roman;serif" w:hAnsi="Times New Roman;serif"/>
          <w:b w:val="false"/>
          <w:sz w:val="20"/>
        </w:rPr>
        <w:t xml:space="preserve">We are developing TSHA-105 as a gene replacement therapy for SLC13A5 deficiency. TSHA-105 is constructed from a codon-optimized human </w:t>
      </w:r>
      <w:r>
        <w:rPr>
          <w:rFonts w:ascii="Times New Roman;serif" w:hAnsi="Times New Roman;serif"/>
          <w:b w:val="false"/>
          <w:i/>
          <w:sz w:val="20"/>
        </w:rPr>
        <w:t>SLC13A5</w:t>
      </w:r>
      <w:r>
        <w:rPr>
          <w:rFonts w:ascii="Times New Roman" w:hAnsi="Times New Roman"/>
          <w:sz w:val="20"/>
        </w:rPr>
        <w:t xml:space="preserve"> </w:t>
      </w:r>
      <w:r>
        <w:rPr>
          <w:rFonts w:ascii="Times New Roman;serif" w:hAnsi="Times New Roman;serif"/>
          <w:b w:val="false"/>
          <w:sz w:val="20"/>
        </w:rPr>
        <w:t>gene packaged in a self-complementary AAV9 capsid.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received orphan drug designation and rare pediatric disease designation from the FDA and orphan drug designation from the European Commission for TSHA-105 for the treatment of epilepsy caused by caused by SLC13A5 deficiency. Clinical trial material has been manufactured and released and is now ready for use in a clinical trial setting.</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TSHA-113 for Tauopathies</w:t>
      </w:r>
    </w:p>
    <w:p>
      <w:pPr>
        <w:pStyle w:val="TextBody"/>
        <w:spacing w:before="120" w:after="0"/>
        <w:jc w:val="left"/>
        <w:rPr>
          <w:rFonts w:ascii="Times New Roman" w:hAnsi="Times New Roman"/>
          <w:sz w:val="20"/>
        </w:rPr>
      </w:pPr>
      <w:r>
        <w:rPr>
          <w:rFonts w:ascii="Times New Roman;serif" w:hAnsi="Times New Roman;serif"/>
          <w:b w:val="false"/>
          <w:sz w:val="20"/>
        </w:rPr>
        <w:t>We are developing TSHA-113 for the treatment of tauopthaies. Tauopathies comprise a large subset of neurodegenerative diseases involving the aggregation of microtubule associated protein tau, or MAPT, protein into neurofibrillary or gliofibrillary tangles in the human brain. These include MAPT-associated frontotemporal dementia, or FTD, progressive supranuclear palsy, or PSP, corticobasal degeneration, or CD, and Alzheimer’s disease. There are an estimated 11,000 patients in United States and Europe affected by MAPT mediated FTD and 2,000 to 2,500 are affected with MAPT-mediated PSP. and CD</w:t>
      </w:r>
      <w:r>
        <w:rPr>
          <w:rFonts w:ascii="Times New Roman;serif" w:hAnsi="Times New Roman;serif"/>
          <w:b w:val="false"/>
          <w:sz w:val="16"/>
        </w:rPr>
        <w:t>,</w:t>
      </w:r>
      <w:r>
        <w:rPr>
          <w:rFonts w:ascii="Times New Roman" w:hAnsi="Times New Roman"/>
          <w:sz w:val="20"/>
        </w:rPr>
        <w:t xml:space="preserve"> </w:t>
      </w:r>
      <w:r>
        <w:rPr>
          <w:rFonts w:ascii="Times New Roman;serif" w:hAnsi="Times New Roman;serif"/>
          <w:b w:val="false"/>
          <w:sz w:val="20"/>
        </w:rPr>
        <w:t>and Alzheimer’s disease affects an estimated 6.2 million Americans and 7.8 million Europeans.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Intrathecal administration of an antisense oligonucleotide, or ASO, targeting Tau mRNA by Biogen/Ionis in a Phase 1 study demonstrated durable, robust, time and dose dependent lowering of tau protein and phopho-tau in cerebrospinal fluid of Alzheimer’s disease patients. Buoyed by these results, in August 2022, Biogen started a Phase 2 trial in people with mild cognitive impairment or mild dementia due to Alzheimer’s disease. This ASO target validation paved the way for other approaches targeting intercellular tau mRNA (reduce tau protein production), for treating Tauopathies.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Unlike an ASO treatment, which would require repeat lifelong administration, we are developing a one-time treatment for Tauopathies. TSHA-113 is an AAV9 capsid that packages a tau-specific miRNA and is delivered in the cerebrospinal fluid for the treatment of tauopathies. This miRNA targets all six isoforms of tau mRNA.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tested the efficacy of TSHA-113 in PS19 mice, a validated mouse model for tauopathies. These mice express human MAPT, and they exhibit significant tau pathology, neurodegeneration, loss of body weight and progressive hind-limb paralysis around nine to 12 months of age. We tested efficacy of our treatment by delivering TSHA-113 to PS19 mice at three months, six months and nine months of age via intracisterna magna injection. We found that the tau mRNA and protein levels were significantly reduced by TSHA-113 treatment. Consistently, the tau seeding assay showed reduced levels of pathological tau in brains from PS19 mice treated with TSHA-113. In addition, TSHA-113 treatment was able to rescue the survival rate, loss in body weight, and the hind limb clasping phenotype in the PS19 mice when treated at three months, six months and nine months of age. Taken together, these results demonstrate that a one-time, vectorized delivery of a tau-specific miRNA is a promising approach for treatment for tauopathies. Ongoing and future work is focused on optimal dose determination for IND-enabling studies.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TSHA-106 for Angelman syndrome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developing TSHA-106 for the treatment of Angelman syndrome, a neurodevelopmental disorder caused by a maternal deficiency of the UBE3A gene. Angelman syndrome is characterized by profound developmental delay, ataxia and gait disturbance, sleep disorder, seizures, heightened anxiety, aggression and severe speech impairments. Angelman syndrome affects approximately one per 12,000 to 20,000 patients worldwide.</w:t>
      </w:r>
    </w:p>
    <w:p>
      <w:pPr>
        <w:pStyle w:val="TextBody"/>
        <w:spacing w:before="240" w:after="0"/>
        <w:jc w:val="left"/>
        <w:rPr>
          <w:rFonts w:ascii="Times New Roman" w:hAnsi="Times New Roman"/>
          <w:sz w:val="20"/>
        </w:rPr>
      </w:pPr>
      <w:r>
        <w:rPr>
          <w:rFonts w:ascii="Times New Roman;serif" w:hAnsi="Times New Roman;serif"/>
          <w:b w:val="false"/>
          <w:sz w:val="20"/>
        </w:rPr>
        <w:t xml:space="preserve">Angelman syndrome is an imprinting disorder in which the maternal gene is deficient and the paternal copy of </w:t>
      </w:r>
      <w:r>
        <w:rPr>
          <w:rFonts w:ascii="Times New Roman;serif" w:hAnsi="Times New Roman;serif"/>
          <w:b w:val="false"/>
          <w:i/>
          <w:sz w:val="20"/>
        </w:rPr>
        <w:t>UBE3A</w:t>
      </w:r>
      <w:r>
        <w:rPr>
          <w:rFonts w:ascii="Times New Roman" w:hAnsi="Times New Roman"/>
          <w:sz w:val="20"/>
        </w:rPr>
        <w:t xml:space="preserve"> </w:t>
      </w:r>
      <w:r>
        <w:rPr>
          <w:rFonts w:ascii="Times New Roman;serif" w:hAnsi="Times New Roman;serif"/>
          <w:b w:val="false"/>
          <w:sz w:val="20"/>
        </w:rPr>
        <w:t xml:space="preserve">is intact but silenced by a long non-coding RNA, </w:t>
      </w:r>
      <w:r>
        <w:rPr>
          <w:rFonts w:ascii="Times New Roman;serif" w:hAnsi="Times New Roman;serif"/>
          <w:b w:val="false"/>
          <w:i/>
          <w:sz w:val="20"/>
        </w:rPr>
        <w:t>UBE3A</w:t>
      </w:r>
      <w:r>
        <w:rPr>
          <w:rFonts w:ascii="Times New Roman" w:hAnsi="Times New Roman"/>
          <w:sz w:val="20"/>
        </w:rPr>
        <w:t xml:space="preserve"> </w:t>
      </w:r>
      <w:r>
        <w:rPr>
          <w:rFonts w:ascii="Times New Roman;serif" w:hAnsi="Times New Roman;serif"/>
          <w:b w:val="false"/>
          <w:sz w:val="20"/>
        </w:rPr>
        <w:t xml:space="preserve">antisense transcript, or </w:t>
      </w:r>
      <w:r>
        <w:rPr>
          <w:rFonts w:ascii="Times New Roman;serif" w:hAnsi="Times New Roman;serif"/>
          <w:b w:val="false"/>
          <w:i/>
          <w:sz w:val="20"/>
        </w:rPr>
        <w:t>UBE3A</w:t>
      </w:r>
      <w:r>
        <w:rPr>
          <w:rFonts w:ascii="Times New Roman;serif" w:hAnsi="Times New Roman;serif"/>
          <w:b w:val="false"/>
          <w:sz w:val="20"/>
        </w:rPr>
        <w:t>-ATS. Delivery of an ASO targeting UBE3A-ATS showed promising results in ameliorating Angelman syndrome symptoms in a transgenic mouse model.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in-licensed a novel gene replacement therapy from University of North Carolina. This novel construct is designed to express two isoforms of UBE3A mRNA from the same codon optimized transgene cassette and could potentially be a one-time treatment for the disease. The unique design feature allows short and long hUBE3A isoforms expression at a near-endogenous 3:1 (short/long) ratio, a feature that could help to support optimal therapeutic outcomes. Additionally, this construct uses human Synapsin 1 promoter, to limit UBE3A expression primarily in neurons, the primary therapeutic target for treating Angelman syndrome.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 published study, this dual isoform expressing cassette was packaged into PHP.B capsids and administered by intracerebroventricular injections in neonatal mice models. This treatment significantly improved motor learning and innate behaviors in Angelman syndrome mice (PMID: 34676830). It rendered Angelman syndrome mice resilient to epileptogenesis and associated hippocampal neuropathologies induced by seizure kindling. These results demonstrated the feasibility, tolerability, and therapeutic potential for dual-isoform hUBE3A gene transfer in the treatment of AS.</w:t>
      </w:r>
    </w:p>
    <w:p>
      <w:pPr>
        <w:pStyle w:val="TextBody"/>
        <w:spacing w:before="240" w:after="0"/>
        <w:jc w:val="left"/>
        <w:rPr>
          <w:rFonts w:ascii="Times New Roman" w:hAnsi="Times New Roman"/>
          <w:sz w:val="20"/>
        </w:rPr>
      </w:pPr>
      <w:r>
        <w:rPr>
          <w:rFonts w:ascii="Times New Roman;serif" w:hAnsi="Times New Roman;serif"/>
          <w:b w:val="false"/>
          <w:sz w:val="20"/>
        </w:rPr>
        <w:t>To advance these findings into translatable interventions, our collaborators packaged the dual isoform expressing cassette into AAV9 capsids and undertook animal proof of concept studies. Overall, these results are highly consistent with the published data describing neonatal ICV delivery of a similar dose of the PHP.B/hUBE3Aopt vector (PMID: 34676830) and support continued development. Ongoing and future work is focused on optimal dose and route of administration determination for IND enabling studies.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are an estimated 55,000 patients with Angelman syndrome in the United States and Europe.</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TSHA-114 for Fragile X Syndrome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Fragile X syndrome is caused by a pathological expansion of a CGG triplet repeat in the 5’ untranslated region of the FMR1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pStyle w:val="TextBody"/>
        <w:spacing w:before="240" w:after="0"/>
        <w:jc w:val="left"/>
        <w:rPr>
          <w:rFonts w:ascii="Times New Roman" w:hAnsi="Times New Roman"/>
          <w:sz w:val="20"/>
        </w:rPr>
      </w:pPr>
      <w:r>
        <w:rPr>
          <w:rFonts w:ascii="Times New Roman;serif" w:hAnsi="Times New Roman;serif"/>
          <w:b w:val="false"/>
          <w:sz w:val="20"/>
        </w:rPr>
        <w:t>We conducted proof of concept studies in animal models of Fragile X (Fmr1 KO) with TSHA-114. No significant adverse effects were observed in behavioral, serological or pathohistological markers up to 12 months after intrathecal administration of TSHA-114 in wild-type mice. TSHA-114 treated FMRKO showed widespread FMRP expression was observed throughout brain post administration. TSHA-114 treated FMRKO mice showed robust suppression of audiogenic seizures and normalization of fear conditioning behavior. In addition, assessment of circadian locomotor activity revealed restoration of hyperactivity and sleep. Assessment of transgene expression and behavioral responses in individual mice demonstrated correlations between the level of FMRP expression and drug efficacy.</w:t>
        <w:br/>
      </w:r>
      <w:r>
        <w:rPr>
          <w:rFonts w:ascii="Times New Roman" w:hAnsi="Times New Roman"/>
          <w:sz w:val="20"/>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results from the study strongly support continued development. Ongoing and future work is focused on optimal dose and route of administration determination for IND enabling studies.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are an estimated 75,000 patients with Fragile X syndrome in the United States and Europe.</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License Agreements</w:t>
      </w:r>
    </w:p>
    <w:p>
      <w:pPr>
        <w:pStyle w:val="TextBody"/>
        <w:spacing w:before="120" w:after="0"/>
        <w:jc w:val="left"/>
        <w:rPr>
          <w:rFonts w:ascii="Times New Roman;serif" w:hAnsi="Times New Roman;serif"/>
          <w:b/>
          <w:i/>
          <w:sz w:val="20"/>
        </w:rPr>
      </w:pPr>
      <w:r>
        <w:rPr>
          <w:rFonts w:ascii="Times New Roman;serif" w:hAnsi="Times New Roman;serif"/>
          <w:b/>
          <w:i/>
          <w:sz w:val="20"/>
        </w:rPr>
        <w:t>Research, Collaboration and License Agreement with The University of Texas Southwestern Medical Center</w:t>
      </w:r>
    </w:p>
    <w:p>
      <w:pPr>
        <w:pStyle w:val="TextBody"/>
        <w:spacing w:before="120" w:after="0"/>
        <w:jc w:val="left"/>
        <w:rPr>
          <w:rFonts w:ascii="Times New Roman" w:hAnsi="Times New Roman"/>
          <w:sz w:val="20"/>
        </w:rPr>
      </w:pPr>
      <w:r>
        <w:rPr>
          <w:rFonts w:ascii="Times New Roman;serif" w:hAnsi="Times New Roman;serif"/>
          <w:b w:val="false"/>
          <w:sz w:val="20"/>
        </w:rPr>
        <w:t>In November 2019, we entered into a research, collaboration and license agreement, or the UT Southwestern Agreement, with The Board of Regents of the University of Texas System on behalf of UT Southwestern, as amended in April 2020.</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pStyle w:val="TextBody"/>
        <w:spacing w:before="360" w:after="0"/>
        <w:jc w:val="left"/>
        <w:rPr>
          <w:rFonts w:ascii="Times New Roman;serif" w:hAnsi="Times New Roman;serif"/>
          <w:b/>
          <w:i/>
          <w:sz w:val="20"/>
        </w:rPr>
      </w:pPr>
      <w:r>
        <w:rPr>
          <w:rFonts w:ascii="Times New Roman;serif" w:hAnsi="Times New Roman;serif"/>
          <w:b/>
          <w:i/>
          <w:sz w:val="20"/>
        </w:rPr>
        <w:t>License Agreement with Abeona (CLN1 Disease)</w:t>
      </w:r>
    </w:p>
    <w:p>
      <w:pPr>
        <w:pStyle w:val="TextBody"/>
        <w:spacing w:before="120" w:after="0"/>
        <w:jc w:val="left"/>
        <w:rPr>
          <w:rFonts w:ascii="Times New Roman" w:hAnsi="Times New Roman"/>
          <w:sz w:val="20"/>
        </w:rPr>
      </w:pPr>
      <w:r>
        <w:rPr>
          <w:rFonts w:ascii="Times New Roman;serif" w:hAnsi="Times New Roman;serif"/>
          <w:b w:val="false"/>
          <w:sz w:val="20"/>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December 2021 a regulatory milestone was triggered in connection with the Abeona CLN1 Agreement, and therefore we recorded $3.0 million within research and development expenses in the consolidated statements of operations for the year ended December 31, 2021. The milestone fee was paid in January 2022 and has been classified as an investing outflow in the consolidated statements of cash flows for the year ended December 31, 2022. No additional milestone payments were made or triggered during the year ended December 31, 2022.</w:t>
      </w:r>
    </w:p>
    <w:p>
      <w:pPr>
        <w:pStyle w:val="TextBody"/>
        <w:spacing w:before="240" w:after="0"/>
        <w:jc w:val="left"/>
        <w:rPr>
          <w:rFonts w:ascii="Times New Roman" w:hAnsi="Times New Roman"/>
          <w:sz w:val="20"/>
        </w:rPr>
      </w:pPr>
      <w:r>
        <w:rPr>
          <w:rFonts w:ascii="Times New Roman;serif" w:hAnsi="Times New Roman;serif"/>
          <w:b w:val="false"/>
          <w:sz w:val="20"/>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License Agreement with Abeona (Rett Syndrome)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Subject to certain obligations of Abeona, we are required to use commercially reasonable efforts to develop at least one licensed product and commercialize at least one licensed product in the United States.</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March 2022, our CTA filing for TSHA-102 for the treatment of Rett Syndrome was approved by Health Canada and therefore triggered a regulatory milestone payment in connection with the Rett Agreement. We recorded $1.0 million within research and development expenses in the consolidated statements of operations for the year ended December 31, 2022. This milestone fee was paid in July 2022 and has been classified as an investing outflow in the consolidated statements of cash flows for the year ended December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Option Agreement with Astellas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October 21, 2022, or the Effective Date, we entered into an Option Agreement, or the Option Agreement with Audentes Therapeutics, Inc. (d/b/a Astellas Gene Therapy), or Astellas.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TSHA-120 Giant Axonal Neuropathy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Subject to certain extensions, the GAN Option is exercisable from the Effective Date through a specified period of time following Astellas’ receipt of (i) the formal minutes from the 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TSHA-102 Rett Syndrome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Option Agreement, we also granted to Astellas an exclusive option to obtain an exclusive, worldwide, royalty and milestone- bearing right and license (A) to Exploit any Rett Product (as defined below), and (B) under any intellectual property rights controlled by us or any of our affiliates with respect to such Exploitation, or the Rett Option, and together with the GAN Option, each, an Option. Subject to certain extensions, the Rett Option is exercisable from the Effective Date through a specified period of time following Astellas’ receipt of (1) certain clinical data from the female pediatric trial and (2) certain specified data with respect to TSHA-102, or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pStyle w:val="TextBody"/>
        <w:spacing w:before="360" w:after="0"/>
        <w:jc w:val="left"/>
        <w:rPr>
          <w:rFonts w:ascii="Times New Roman;serif" w:hAnsi="Times New Roman;serif"/>
          <w:b/>
          <w:sz w:val="20"/>
        </w:rPr>
      </w:pPr>
      <w:r>
        <w:rPr>
          <w:rFonts w:ascii="Times New Roman;serif" w:hAnsi="Times New Roman;serif"/>
          <w:b/>
          <w:sz w:val="20"/>
        </w:rPr>
        <w:t>Intellectual Property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actively seek to protect our proprietary technology, inventions, and other intellectual property that is commercially important to the development of our business by a variety of means, for example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also intend to seek patent protection or rely upon trade secret rights to protect other technologies that may be used to discover and validate targets, and that may be used to manufacture and develop novel gene therapy products. We are a party to license agreements that give us rights to use specific technologies in our gene therapy products and in manufacturing our products. Additional regulatory protection may also be afforded through data exclusivity, market exclusivity and patent term extensions where available.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February 16, 2023, we in-license 2 U.S. patents expiring in 2038-2039, two foreign patents expiring in 2038, eight pending Patent Cooperation Treaty, or PCT, applications, 63 pending foreign patent applications and 17 pending United States utility patent applications, which, if issued, are expected to expire between 2037 and 2043, without taking into account any possible patent term adjustment, regulatory extensions, or terminal disclaimers, and assuming payment of all annuity and/or maintenance fees. Our policy is to file patent applications to protect technology, inventions and improvements to inventions that may be commercially important to the development of our business. Patent applications and patents directed to specific product candidates are summarized below:</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TSHA-102</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We in-license from The Board of Regents of The University of Texas System four pending patent applications worldwide directed to a minigene encoding </w:t>
      </w:r>
      <w:r>
        <w:rPr>
          <w:rFonts w:ascii="Times New Roman;serif" w:hAnsi="Times New Roman;serif"/>
          <w:b w:val="false"/>
          <w:i/>
          <w:sz w:val="20"/>
        </w:rPr>
        <w:t>MECP2</w:t>
      </w:r>
      <w:r>
        <w:rPr>
          <w:rFonts w:ascii="Times New Roman" w:hAnsi="Times New Roman"/>
          <w:sz w:val="20"/>
        </w:rPr>
        <w:t xml:space="preserve"> </w:t>
      </w:r>
      <w:r>
        <w:rPr>
          <w:rFonts w:ascii="Times New Roman;serif" w:hAnsi="Times New Roman;serif"/>
          <w:b w:val="false"/>
          <w:sz w:val="20"/>
        </w:rPr>
        <w:t>packaged into an AAV vector, and methods of using that vector to treat Rett syndrome. Any patents based on these applications, if issued, are expected to expire in 2040, without taking into account any possible patent term adjustment, regulatory extensions, or terminal disclaimers, and assuming payment of all annuity and/or maintenance fees.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in-license from the University of Edinburgh and the University of Glasgow 11 pending patent applications worldwide directed to MECP2 expression cassettes for gene therapy. Any patents based on these applications, if issued, are expected to expire in 2038, without taking into account any possible patent term adjustment, regulatory extensions, or terminal disclaimers, and assuming payment of all annuity and/or maintenance fees. We have also in-licensed from the University of Edinburgh and the University of Glasgow one Japanese patent and one Australian patent, each with claims to a MECP2 expression cassette and vector comprising the same, as well as their use for treating Rett Syndrome. These patents will expire in 2038 assuming all maintenance fees are timely paid.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in-license from the University of North Carolina at Chapel Hill 11 pending patent applications worldwide directed to feedback-enabled synthetic genes that inhibit MECP2 expression and use of these synthetic genes for treating Rett Syndrome. Any patents based on these applications, if issued, are expected to expire in 2039, without taking into account any possible patent term adjustment, regulatory extensions, or terminal disclaimers, and assuming payment of all annuity and/or maintenance fees.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TSHA-120</w:t>
      </w:r>
    </w:p>
    <w:p>
      <w:pPr>
        <w:pStyle w:val="TextBody"/>
        <w:spacing w:before="120" w:after="0"/>
        <w:jc w:val="left"/>
        <w:rPr>
          <w:rFonts w:ascii="Times New Roman" w:hAnsi="Times New Roman"/>
          <w:sz w:val="20"/>
        </w:rPr>
      </w:pPr>
      <w:r>
        <w:rPr>
          <w:rFonts w:ascii="Times New Roman;serif" w:hAnsi="Times New Roman;serif"/>
          <w:b w:val="false"/>
          <w:sz w:val="20"/>
        </w:rPr>
        <w:t>We in-license from The Board of Regents of The University of Texas System 9 pending patent applications worldwide directed to gigaxonin-encoding transgene packaged in an AAV vector and methods of using that vector to treat Giant Axonal Neuropathy. Any patents based on these applications, if issued, are expected to expire in 2041, without taking into account any possible patent term adjustment, regulatory extensions, or terminal disclaimers, and assuming payment of all annuity and/or maintenance fees.</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TSHA-118</w:t>
      </w:r>
    </w:p>
    <w:p>
      <w:pPr>
        <w:pStyle w:val="TextBody"/>
        <w:spacing w:before="120" w:after="0"/>
        <w:jc w:val="left"/>
        <w:rPr>
          <w:rFonts w:ascii="Times New Roman" w:hAnsi="Times New Roman"/>
          <w:sz w:val="20"/>
        </w:rPr>
      </w:pPr>
      <w:r>
        <w:rPr>
          <w:rFonts w:ascii="Times New Roman;serif" w:hAnsi="Times New Roman;serif"/>
          <w:b w:val="false"/>
          <w:sz w:val="20"/>
        </w:rPr>
        <w:t>We in-license certain patent rights directed to a palmitoyl-protein thioesterase 1-encoding transgene packaged into an AAV vector, and methods of using that vector to treat CLN1 disease (one of the forms of Batten disease). Specifically, pursuant to our license agreement with Abeona Therapeutics, Inc. we have in-licensed 10 pending patent applications worldwide assigned to Abeona Therapeutics, Inc. Any patents based on these applications, if issued, are expected to expire in 2040, without taking into account any possible patent term adjustment, regulatory extensions, or terminal disclaimers, and assuming payment of all annuity and/or maintenance fees.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pursuant to the Abeona CLN1 agreement, we have sublicensed 9 pending patent applications worldwide assigned to the University of North Carolina at Chapel Hill. Any patents based on these patent applications, if issued, are expected to expire in 2037, without taking into account any possible patent term adjustment, regulatory extensions, or terminal disclaimers, and assuming payment of all annuity and/or maintenance fees. We have also licensed one U.S. patent with claims to a CLN1 expression cassettes and vector comprising the same, which will expire in 2038 assuming all maintenance fees are timely paid.</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TSHA-105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in-license from the University of North Carolina at Chapel Hill 4 pending patent applications worldwide directed to SLC13A5-encoding transgene packaged in an AAV vector and methods of using that vector to treat SLC13A5 deficiency. Any patents claiming priority to this PCT application, if issued, are expected to expire in 2041, without taking into account any possible patent term adjustment, regulatory extensions, or terminal disclaimers, and assuming payment of all annuity and/or maintenance fees.</w:t>
      </w:r>
    </w:p>
    <w:p>
      <w:pPr>
        <w:pStyle w:val="TextBody"/>
        <w:spacing w:before="240" w:after="0"/>
        <w:jc w:val="left"/>
        <w:rPr>
          <w:rFonts w:ascii="Times New Roman" w:hAnsi="Times New Roman"/>
          <w:sz w:val="20"/>
        </w:rPr>
      </w:pPr>
      <w:r>
        <w:rPr>
          <w:rFonts w:ascii="Times New Roman;serif" w:hAnsi="Times New Roman;serif"/>
          <w:b w:val="false"/>
          <w:sz w:val="20"/>
        </w:rPr>
        <w:t>We also in-license from The Board of Regents of The University of Texas System one pending PCT application directed to SLC13A5-encoding transgene packaged in an AAV vector and methods of using that vector to treat SLC13A5 deficiency. Any patents claiming priority to this PCT application, if issued, are expected to expire in 2042, without taking into account any possible patent term adjustment, regulatory extensions, or terminal disclaimers, and assuming payment of all annuity and/or maintenance fees.</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TSHA-121</w:t>
      </w:r>
    </w:p>
    <w:p>
      <w:pPr>
        <w:pStyle w:val="TextBody"/>
        <w:spacing w:before="120" w:after="0"/>
        <w:jc w:val="left"/>
        <w:rPr>
          <w:rFonts w:ascii="Times New Roman" w:hAnsi="Times New Roman"/>
          <w:sz w:val="20"/>
        </w:rPr>
      </w:pPr>
      <w:r>
        <w:rPr>
          <w:rFonts w:ascii="Times New Roman;serif" w:hAnsi="Times New Roman;serif"/>
          <w:b w:val="false"/>
          <w:sz w:val="20"/>
        </w:rPr>
        <w:t>We in-license from The Board of Regents of The University of Texas System one U.S. pending PCT application directed to CLN7-encoding transgene packaged in an AAV vector and methods of using that vector to treat disorders associated with aberrant CLN7 expression. Any patents claiming priority to this PCT application, if issued, are expected to expire in 2042, without taking into account any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possible patent term adjustment, regulatory extensions, or terminal disclaimers, and assuming payment of all annuity and/or maintenance fees.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TSHA-106</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in-license from The Board of Regents of The University of Texas System one pending PCT application directed to RNA interference (RNAi) constructs targeting UBE3A and methods of using these constructs for the treatment of Angelman Syndrome. Any patents claiming priority to this PCT application, if issued, are expected to expire in 2042, without taking into account any possible patent term adjustment, regulatory extensions, or terminal disclaimers, and assuming payment of all annuity and/or maintenance fees.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in-license from the University of North Carolina at Chapel Hill 11 pending patent applications worldwide directed to R UBE3A-encoding transgene packaged in an AAV vector and methods of using that vector to Angelman Syndrome. Any patents based on these applications, if issued, are expected to expire in 2040, without taking into account any possible patent term adjustment, regulatory extensions, or terminal disclaimers, and assuming payment of all annuity and/or maintenance fees.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TSHA-113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in-license from The Board of Regents of The University of Texas System one pending PCT application directed to RNA interference (RNAi) constructs targeting MAPT and methods of using these constructs for the treatment of Tauopathies. Any patents claiming priority to this PCT application, if issued, are expected to expire in 2042, without taking into account any possible patent term adjustment, regulatory extensions, or terminal disclaimers, and assuming payment of all annuity and/or maintenance fees.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Fragile X Syndrome</w:t>
      </w:r>
    </w:p>
    <w:p>
      <w:pPr>
        <w:pStyle w:val="TextBody"/>
        <w:spacing w:before="120" w:after="0"/>
        <w:jc w:val="left"/>
        <w:rPr>
          <w:rFonts w:ascii="Times New Roman" w:hAnsi="Times New Roman"/>
          <w:sz w:val="20"/>
        </w:rPr>
      </w:pPr>
      <w:r>
        <w:rPr>
          <w:rFonts w:ascii="Times New Roman;serif" w:hAnsi="Times New Roman;serif"/>
          <w:b w:val="false"/>
          <w:sz w:val="20"/>
        </w:rPr>
        <w:t>We in-license from The Board of Regents of The University of Texas System one pending PCT application directed to FMR1-encoding transgene packaged in an AAV vector and methods of using that vector to treat disorders associated with aberrant FMR1 expression (such as Fragile X Syndrome). Any patents based on these applications, if issued, are expected to expire in 2043, without taking into account any possible patent term adjustment, regulatory extensions, or terminal disclaimers, and assuming payment of all annuity and/or maintenance fees.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employees, consultants, scientific advisors, contractors and others who may have access to proprietary information, under which they are bound to assign to us inventions made during the term of their employment or term of service. We also seek to preserve the integrity and confidentiality of our data and trade secrets by maintaining physical security of our premises and physical and electronic security of our information technology systems.</w:t>
      </w:r>
    </w:p>
    <w:p>
      <w:pPr>
        <w:pStyle w:val="TextBody"/>
        <w:spacing w:before="360" w:after="0"/>
        <w:jc w:val="left"/>
        <w:rPr>
          <w:rFonts w:ascii="Times New Roman;serif" w:hAnsi="Times New Roman;serif"/>
          <w:b/>
          <w:sz w:val="20"/>
        </w:rPr>
      </w:pPr>
      <w:r>
        <w:rPr>
          <w:rFonts w:ascii="Times New Roman;serif" w:hAnsi="Times New Roman;serif"/>
          <w:b/>
          <w:sz w:val="20"/>
        </w:rPr>
        <w:t>Government Regulation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U.S. Food and Drug Administration, or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Biological products are subject to regulation under the Food, Drug, and Cosmetic Act, or FDCA, and the Public Health Service Act, or PHSA,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pStyle w:val="TextBody"/>
        <w:spacing w:before="360" w:after="0"/>
        <w:jc w:val="left"/>
        <w:rPr>
          <w:rFonts w:ascii="Times New Roman;serif" w:hAnsi="Times New Roman;serif"/>
          <w:b/>
          <w:i/>
          <w:sz w:val="20"/>
        </w:rPr>
      </w:pPr>
      <w:r>
        <w:rPr>
          <w:rFonts w:ascii="Times New Roman;serif" w:hAnsi="Times New Roman;serif"/>
          <w:b/>
          <w:i/>
          <w:sz w:val="20"/>
        </w:rPr>
        <w:t>U.S. Biologics Regulation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process required by the FDA before biological product candidates may be marketed in the United States generally involves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completion of extensive preclinical laboratory tests and animal studies performed in accordance with applicable regulations, including the good laboratory practice, or GLP, regulations;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submission to the FDA of an IND application, which must become effective before clinical trials may begin;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approval by an independent institutional review board, or IRB, or ethics committee at each clinical site before the trial is commenced;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performance of adequate and well-controlled human clinical trials to establish the safety, purity and potency of the proposed biological product candidate for its intended purpose;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preparation of and submission to the FDA of a BLA after completion of all pivotal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determination by the FDA within 60 days of its receipt of a BLA to file the application for review;</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satisfactory completion of an FDA pre-approval inspection of the manufacturing facility or facilities at which the proposed product is produced to assess compliance with current Good Manufacturing Practice requirements, or cGMPs, and to assure that the facilities, methods and controls are adequate to preserve the biological product’s continued safety, purity and potency, and of selected clinical investigation sites to assess compliance with the FDA’s good clinical practices, or GCPs;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satisfactory completion of an FDA Advisory Committee review, if applicable;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FDA review and approval, or licensure, of a BLA to permit commercial marketing of the product for particular indications for use in the United States.</w:t>
      </w:r>
    </w:p>
    <w:p>
      <w:pPr>
        <w:pStyle w:val="TextBody"/>
        <w:spacing w:before="360" w:after="0"/>
        <w:jc w:val="left"/>
        <w:rPr>
          <w:rFonts w:ascii="Times New Roman;serif" w:hAnsi="Times New Roman;serif"/>
          <w:b/>
          <w:i/>
          <w:sz w:val="20"/>
        </w:rPr>
      </w:pPr>
      <w:r>
        <w:rPr>
          <w:rFonts w:ascii="Times New Roman;serif" w:hAnsi="Times New Roman;serif"/>
          <w:b/>
          <w:i/>
          <w:sz w:val="20"/>
        </w:rPr>
        <w:t>Preclinical and Clinical Development</w:t>
      </w:r>
    </w:p>
    <w:p>
      <w:pPr>
        <w:pStyle w:val="TextBody"/>
        <w:spacing w:before="120" w:after="0"/>
        <w:jc w:val="left"/>
        <w:rPr>
          <w:rFonts w:ascii="Times New Roman" w:hAnsi="Times New Roman"/>
          <w:sz w:val="20"/>
        </w:rPr>
      </w:pPr>
      <w:r>
        <w:rPr>
          <w:rFonts w:ascii="Times New Roman;serif" w:hAnsi="Times New Roman;serif"/>
          <w:b w:val="false"/>
          <w:sz w:val="20"/>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w:t>
      </w:r>
      <w:r>
        <w:rPr>
          <w:rFonts w:ascii="Times New Roman" w:hAnsi="Times New Roman"/>
          <w:sz w:val="20"/>
        </w:rPr>
        <w:t xml:space="preserve">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to the submission of an IND to the FDA before initiation of a clinical trial in the United States, certain human clinical trials involving recombinant or synthetic nucleic acid molecules are subject to oversight at the local level as set forth in the National Institutes of Health, or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purposes of BLA approval of a product candidate, human clinical trials are typically conducted in three sequential phases that may overlap or be combined: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Phase 1. For gene therapies, the investigational product is initially introduced into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Phase 2. The investigational product is administered to a limited patient population to evaluate the preliminary efficacy, optimal dosages and dosing schedule and to identify possible adverse side effects and safety risks.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Phase 3. The investigational product is administered to an expanded patient population to further evaluate dosage, to provide statistically significant evidence of clinical efficacy and to further test for safety, generally at multiple geographically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dispersed clinical trial sites. These clinical trials are intended to establish the overall risk/benefit ratio of the investigational product and to provide an adequate basis for product approval.</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When these phases overlap or are combined, the trials may be referred to as Phase 1/2 or Phase 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pStyle w:val="TextBody"/>
        <w:spacing w:before="360" w:after="0"/>
        <w:jc w:val="left"/>
        <w:rPr>
          <w:rFonts w:ascii="Times New Roman;serif" w:hAnsi="Times New Roman;serif"/>
          <w:b/>
          <w:i/>
          <w:sz w:val="20"/>
        </w:rPr>
      </w:pPr>
      <w:r>
        <w:rPr>
          <w:rFonts w:ascii="Times New Roman;serif" w:hAnsi="Times New Roman;serif"/>
          <w:b/>
          <w:i/>
          <w:sz w:val="20"/>
        </w:rPr>
        <w:t>BLA Submission and Review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 The FDA has sixty days from the applicant’s submission of a BLA to either issue a refusal to file letter or accept the BLA for filing, indicating that it is sufficiently complete to permit substantive review.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Once a BLA has been accepted for filing,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for its intended use, and whether the facility in which it is manufactured, processed, packed or held meets standards designed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After the FDA evaluates a BLA and conducts inspections of manufacturing facilities where the investigational product and/or its drug substance will be manufactured,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The FDA may delay or refuse approval of a BLA if applicable regulatory criteria are not satisfied, require additional testing or information and/or require post-marketing testing and surveillance to monitor safety or efficacy of a product.</w:t>
      </w:r>
    </w:p>
    <w:p>
      <w:pPr>
        <w:pStyle w:val="TextBody"/>
        <w:spacing w:before="240" w:after="0"/>
        <w:jc w:val="left"/>
        <w:rPr>
          <w:rFonts w:ascii="Times New Roman" w:hAnsi="Times New Roman"/>
          <w:sz w:val="20"/>
        </w:rPr>
      </w:pPr>
      <w:r>
        <w:rPr>
          <w:rFonts w:ascii="Times New Roman;serif" w:hAnsi="Times New Roman;serif"/>
          <w:b w:val="false"/>
          <w:sz w:val="20"/>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pStyle w:val="TextBody"/>
        <w:spacing w:before="360" w:after="0"/>
        <w:jc w:val="left"/>
        <w:rPr>
          <w:rFonts w:ascii="Times New Roman;serif" w:hAnsi="Times New Roman;serif"/>
          <w:b/>
          <w:i/>
          <w:sz w:val="20"/>
        </w:rPr>
      </w:pPr>
      <w:r>
        <w:rPr>
          <w:rFonts w:ascii="Times New Roman;serif" w:hAnsi="Times New Roman;serif"/>
          <w:b/>
          <w:i/>
          <w:sz w:val="20"/>
        </w:rPr>
        <w:t>Expedited Development and Review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regenerative medicine advanced therapy, or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Fast track designation, breakthrough therapy designation, RMAT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Orphan Drug Designation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Orphan Drug Act, the FDA may grant orphan designation to a drug or biologic intended to treat a rare disease or condition, which is a disease or condition that affects fewer than 200,000 individuals in the United States, or 200,000 or more than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holder of the orphan drug exclusivity cannot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spacing w:before="360" w:after="0"/>
        <w:jc w:val="left"/>
        <w:rPr>
          <w:rFonts w:ascii="Times New Roman;serif" w:hAnsi="Times New Roman;serif"/>
          <w:b/>
          <w:i/>
          <w:sz w:val="20"/>
        </w:rPr>
      </w:pPr>
      <w:r>
        <w:rPr>
          <w:rFonts w:ascii="Times New Roman;serif" w:hAnsi="Times New Roman;serif"/>
          <w:b/>
          <w:i/>
          <w:sz w:val="20"/>
        </w:rPr>
        <w:t>Rare Pediatric Disease Designation and Priority Review Vouchers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September 30, 2024, with the potential for PRVs to be granted until September 30, 2026.</w:t>
      </w:r>
    </w:p>
    <w:p>
      <w:pPr>
        <w:pStyle w:val="TextBody"/>
        <w:spacing w:before="360" w:after="0"/>
        <w:jc w:val="left"/>
        <w:rPr>
          <w:rFonts w:ascii="Times New Roman;serif" w:hAnsi="Times New Roman;serif"/>
          <w:b/>
          <w:i/>
          <w:sz w:val="20"/>
        </w:rPr>
      </w:pPr>
      <w:r>
        <w:rPr>
          <w:rFonts w:ascii="Times New Roman;serif" w:hAnsi="Times New Roman;serif"/>
          <w:b/>
          <w:i/>
          <w:sz w:val="20"/>
        </w:rPr>
        <w:t>Post-Approval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pStyle w:val="TextBody"/>
        <w:spacing w:before="240" w:after="0"/>
        <w:jc w:val="left"/>
        <w:rPr>
          <w:rFonts w:ascii="Times New Roman" w:hAnsi="Times New Roman"/>
          <w:sz w:val="20"/>
        </w:rPr>
      </w:pPr>
      <w:r>
        <w:rPr>
          <w:rFonts w:ascii="Times New Roman;serif" w:hAnsi="Times New Roman;serif"/>
          <w:b w:val="false"/>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risks; or imposition of distribution restrictions or other restrictions under a REMS program. Other potential consequences include, among other things: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the marketing or manufacturing of a product, complete withdrawal of the product from the market or product recalls;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fines, warning or untitled letters or holds on post-approval clinical studies;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refusal of the FDA to approve pending applications or supplements to approved applications, or suspension or revocation of existing product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seizure or detention, or refusal of the FDA to permit the import or export of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consent decrees, corporate integrity agreements, debarment or exclusion from federal healthcare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mandated modification of promotional materials and labeling and the issuance of corrective information;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issuance of safety alerts, Dear Healthcare Provider letters, press releases and other communications containing warnings or other safety information about the product;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injunctions or the imposition of civil or criminal penalties.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spacing w:before="360" w:after="0"/>
        <w:jc w:val="left"/>
        <w:rPr>
          <w:rFonts w:ascii="Times New Roman;serif" w:hAnsi="Times New Roman;serif"/>
          <w:b/>
          <w:i/>
          <w:sz w:val="20"/>
        </w:rPr>
      </w:pPr>
      <w:r>
        <w:rPr>
          <w:rFonts w:ascii="Times New Roman;serif" w:hAnsi="Times New Roman;serif"/>
          <w:b/>
          <w:i/>
          <w:sz w:val="20"/>
        </w:rPr>
        <w:t>Biosimilars and Reference Product Exclusivity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Patient Protection and Affordable Care Act, as amended by the Health Care and Education Reconciliation Act, or collectively the ACA, includes a subtitle called the Biologics Price Competition and Innovation Act,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Foreign Regulation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spacing w:before="360" w:after="0"/>
        <w:jc w:val="left"/>
        <w:rPr>
          <w:rFonts w:ascii="Times New Roman;serif" w:hAnsi="Times New Roman;serif"/>
          <w:b/>
          <w:i/>
          <w:sz w:val="20"/>
        </w:rPr>
      </w:pPr>
      <w:r>
        <w:rPr>
          <w:rFonts w:ascii="Times New Roman;serif" w:hAnsi="Times New Roman;serif"/>
          <w:b/>
          <w:i/>
          <w:sz w:val="20"/>
        </w:rPr>
        <w:t>Other Healthcare Laws and Compliance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the Health Insurance Portability and Accountability Act of 1996, or HIPAA, and similar foreign, federal and state fraud and abuse, transparency and privacy laws.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Civil and criminal false claims laws, and civil monetary penalty laws, including the civil False Claims Act,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spacing w:before="240" w:after="0"/>
        <w:jc w:val="left"/>
        <w:rPr>
          <w:rFonts w:ascii="Times New Roman" w:hAnsi="Times New Roman"/>
          <w:sz w:val="20"/>
        </w:rPr>
      </w:pPr>
      <w:r>
        <w:rPr>
          <w:rFonts w:ascii="Times New Roman;serif" w:hAnsi="Times New Roman;serif"/>
          <w:b w:val="false"/>
          <w:sz w:val="20"/>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Medicare &amp; Medicaid Services, or CMS, information related to payments or other transfers of value made to physicians (currently defined to include doctors, dentists, optometrists, podiatrists and chiropractors), other health care professionals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(such as physician assistants and nurse practitioners) and teaching hospitals, as well as ownership and investment interests held by physicians and their immediate family members.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also subject to additional similar U.S. state and foreign law equivalents of each of the above federal laws, such as anti-kickback and false claims laws which may apply to sales or marketing arrangements and claims involving healthcare items or services reimbursed by non-governmental third 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imprisonment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pStyle w:val="TextBody"/>
        <w:spacing w:before="360" w:after="0"/>
        <w:jc w:val="left"/>
        <w:rPr>
          <w:rFonts w:ascii="Times New Roman;serif" w:hAnsi="Times New Roman;serif"/>
          <w:b/>
          <w:i/>
          <w:sz w:val="20"/>
        </w:rPr>
      </w:pPr>
      <w:r>
        <w:rPr>
          <w:rFonts w:ascii="Times New Roman;serif" w:hAnsi="Times New Roman;serif"/>
          <w:b/>
          <w:i/>
          <w:sz w:val="20"/>
        </w:rPr>
        <w:t>Coverage and Reimbursement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pStyle w:val="TextBody"/>
        <w:spacing w:before="240" w:after="0"/>
        <w:jc w:val="left"/>
        <w:rPr>
          <w:rFonts w:ascii="Times New Roman" w:hAnsi="Times New Roman"/>
          <w:sz w:val="20"/>
        </w:rPr>
      </w:pPr>
      <w:r>
        <w:rPr>
          <w:rFonts w:ascii="Times New Roman;serif" w:hAnsi="Times New Roman;serif"/>
          <w:b w:val="false"/>
          <w:sz w:val="20"/>
        </w:rPr>
        <w:t>Outside the United States, ensuring adequate coverage and payment for any biological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pStyle w:val="TextBody"/>
        <w:spacing w:before="360" w:after="0"/>
        <w:jc w:val="left"/>
        <w:rPr>
          <w:rFonts w:ascii="Times New Roman;serif" w:hAnsi="Times New Roman;serif"/>
          <w:b/>
          <w:i/>
          <w:sz w:val="20"/>
        </w:rPr>
      </w:pPr>
      <w:r>
        <w:rPr>
          <w:rFonts w:ascii="Times New Roman;serif" w:hAnsi="Times New Roman;serif"/>
          <w:b/>
          <w:i/>
          <w:sz w:val="20"/>
        </w:rPr>
        <w:t>Healthcare Reform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such challenges and the healthcare reform measures of the Biden administration will impact the ACA and our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2032 unless additional action is taken by Congress. Further,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considering additional health reform measures.</w:t>
      </w:r>
    </w:p>
    <w:p>
      <w:pPr>
        <w:pStyle w:val="TextBody"/>
        <w:spacing w:before="240" w:after="0"/>
        <w:jc w:val="left"/>
        <w:rPr>
          <w:rFonts w:ascii="Times New Roman" w:hAnsi="Times New Roman"/>
          <w:sz w:val="20"/>
        </w:rPr>
      </w:pPr>
      <w:r>
        <w:rPr>
          <w:rFonts w:ascii="Times New Roman;serif" w:hAnsi="Times New Roman;serif"/>
          <w:b w:val="false"/>
          <w:sz w:val="20"/>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implemented but is likely to have a significant impact on the pharmaceutical industry. Further,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Additional state and federal healthcare reform measures may be adopted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before="360" w:after="0"/>
        <w:jc w:val="left"/>
        <w:rPr>
          <w:rFonts w:ascii="Times New Roman;serif" w:hAnsi="Times New Roman;serif"/>
          <w:b/>
          <w:sz w:val="20"/>
        </w:rPr>
      </w:pPr>
      <w:r>
        <w:rPr>
          <w:rFonts w:ascii="Times New Roman;serif" w:hAnsi="Times New Roman;serif"/>
          <w:b/>
          <w:sz w:val="20"/>
        </w:rPr>
        <w:t>Human Capital Resources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human capital is integral to helping us achieve our mission of eradicating monogenic diseases of the CNS. We have built a culture of high performance based on our core values: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Being an ally to the rare disease community;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Uncovering never-before-seen scientific discoveries;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Developing cutting-edge technologies and medicines;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Having a true sense for the term “partnership”;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Exploring uncharted territory, just like the first Texas “wildcatters”.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December 31, 2022, we had 65 employees, all of whom were full-time. Almost all of our employees are located in the United States. None of our employees are represented by a labor union or covered by a collective bargaining agreement. We consider our relationship with our employees to be good.</w:t>
      </w:r>
    </w:p>
    <w:p>
      <w:pPr>
        <w:pStyle w:val="TextBody"/>
        <w:spacing w:before="360" w:after="0"/>
        <w:jc w:val="left"/>
        <w:rPr>
          <w:rFonts w:ascii="Times New Roman;serif" w:hAnsi="Times New Roman;serif"/>
          <w:b/>
          <w:sz w:val="20"/>
        </w:rPr>
      </w:pPr>
      <w:r>
        <w:rPr>
          <w:rFonts w:ascii="Times New Roman;serif" w:hAnsi="Times New Roman;serif"/>
          <w:b/>
          <w:sz w:val="20"/>
        </w:rPr>
        <w:t>Corporate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were incorporated under the laws of the State of Texas in September 2019. In February 2020, we converted to a Delaware corporation. Our principal executive offices are located at 3000 Pegasus Park Drive Ste 1430, Dallas, Texas 75247 and our telephone number is (214) 612-0000.</w:t>
      </w:r>
    </w:p>
    <w:p>
      <w:pPr>
        <w:pStyle w:val="TextBody"/>
        <w:spacing w:before="360" w:after="0"/>
        <w:jc w:val="left"/>
        <w:rPr>
          <w:rFonts w:ascii="Times New Roman;serif" w:hAnsi="Times New Roman;serif"/>
          <w:b/>
          <w:sz w:val="20"/>
        </w:rPr>
      </w:pPr>
      <w:r>
        <w:rPr>
          <w:rFonts w:ascii="Times New Roman;serif" w:hAnsi="Times New Roman;serif"/>
          <w:b/>
          <w:sz w:val="20"/>
        </w:rPr>
        <w:t>Available Information</w:t>
      </w:r>
    </w:p>
    <w:p>
      <w:pPr>
        <w:pStyle w:val="TextBody"/>
        <w:spacing w:before="120" w:after="0"/>
        <w:jc w:val="left"/>
        <w:rPr>
          <w:rFonts w:ascii="Times New Roman" w:hAnsi="Times New Roman"/>
          <w:sz w:val="20"/>
        </w:rPr>
      </w:pPr>
      <w:r>
        <w:rPr>
          <w:rFonts w:ascii="Times New Roman;serif" w:hAnsi="Times New Roman;serif"/>
          <w:b w:val="false"/>
          <w:sz w:val="20"/>
        </w:rPr>
        <w:t xml:space="preserve">Our internet website address is </w:t>
      </w:r>
      <w:r>
        <w:rPr>
          <w:rFonts w:ascii="Times New Roman;serif" w:hAnsi="Times New Roman;serif"/>
          <w:b w:val="false"/>
          <w:i/>
          <w:sz w:val="20"/>
        </w:rPr>
        <w:t>www.tayshagtx.com</w:t>
      </w:r>
      <w:r>
        <w:rPr>
          <w:rFonts w:ascii="Times New Roman;serif" w:hAnsi="Times New Roman;serif"/>
          <w:b w:val="false"/>
          <w:sz w:val="20"/>
        </w:rPr>
        <w:t>. In addition to the information about us and our subsidiaries contained in this Annual Report, information about us can be found on our website. Our website and information included in or linked to our website are not part of this Annual Report.</w:t>
      </w:r>
    </w:p>
    <w:p>
      <w:pPr>
        <w:pStyle w:val="TextBody"/>
        <w:spacing w:before="240" w:after="0"/>
        <w:jc w:val="left"/>
        <w:rPr>
          <w:rFonts w:ascii="Times New Roman" w:hAnsi="Times New Roman"/>
          <w:sz w:val="20"/>
        </w:rPr>
      </w:pPr>
      <w:r>
        <w:rPr>
          <w:rFonts w:ascii="Times New Roman;serif" w:hAnsi="Times New Roman;serif"/>
          <w:b w:val="false"/>
          <w:sz w:val="20"/>
        </w:rPr>
        <w:t xml:space="preserve">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t>
      </w:r>
      <w:r>
        <w:rPr>
          <w:rFonts w:ascii="Times New Roman;serif" w:hAnsi="Times New Roman;serif"/>
          <w:b w:val="false"/>
          <w:i/>
          <w:sz w:val="20"/>
        </w:rPr>
        <w:t>www.sec.gov</w:t>
      </w:r>
      <w:r>
        <w:rPr>
          <w:rFonts w:ascii="Times New Roman;serif" w:hAnsi="Times New Roman;serif"/>
          <w:b w:val="false"/>
          <w:sz w:val="20"/>
        </w:rPr>
        <w: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4" w:name="item_1a_risk_factors"/>
      <w:bookmarkEnd w:id="4"/>
      <w:r>
        <w:rPr>
          <w:rFonts w:ascii="Times New Roman;serif" w:hAnsi="Times New Roman;serif"/>
          <w:b/>
          <w:sz w:val="20"/>
        </w:rPr>
        <w:t>Item 1A. Risk Factors.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pStyle w:val="TextBody"/>
        <w:spacing w:before="120" w:after="0"/>
        <w:jc w:val="left"/>
        <w:rPr>
          <w:rFonts w:ascii="Times New Roman" w:hAnsi="Times New Roman"/>
          <w:sz w:val="20"/>
        </w:rPr>
      </w:pPr>
      <w:r>
        <w:rPr>
          <w:rFonts w:ascii="Times New Roman;serif" w:hAnsi="Times New Roman;serif"/>
          <w:b/>
          <w:sz w:val="20"/>
        </w:rPr>
        <w:t>Selected Risks Affecting Our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is subject to a number of risks of which you should be aware before making a decision to invest in our common stock. These risks are more fully described in this “Risk Factors” section,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incurred significant losses since our inception. We expect to incur losses over the next several years and may never achieve or maintain profitability. These factors raise substantial doubt regarding our ability to continue as a going concern.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need substantial additional funding to meet our financial obligations and to pursue our business objectives. If we are unable to raise capital when needed, we could be forced to curtail our planned operations and the pursuit of our growth strategy.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 limited operating history and no history of commercializing products, which may make it difficult for an investor to evaluate the success of our business to date and to assess our future viability.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very early in our development efforts and all of our product candidates are in preclinical or 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intend to identify and develop novel gene therapy product candidates, which makes it difficult to predict the time, cost and potential success of product candidate development.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regulatory approval processes of the U.S. Food and Drug Administration, or FDA, European Medicines Agency, or the EMA, and comparable foreign authorities are lengthy, time consuming and inherently unpredictable. If we are not able to obtain required regulatory approval for our product candidates, our business will be substantially harmed.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not yet completed testing of any product candidates in clinical trials. Success in preclinical studies or earlier clinical trials may not be indicative of results in future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not be successful in our efforts to build a pipeline of additional product candidates or our next-generation platform technologies.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and operations could be adversely affected by the effects of health epidemics, including the COVID-19 pandemic.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 therapies are novel, complex and difficult to manufacture. We could experience manufacturing problems that result in delays in the development or commercialization of our product candidates or otherwise harm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and our contract manufacturers for AAV9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Negative public opinion of gene therapy and increased regulatory scrutiny of gene therapy and genetic research may adversely impact the development or commercial success of our current and future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face significant competition from other biotechnology and pharmaceutical companies, and our operating results will suffer if we fail to compete effectively.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Third parties may initiate legal proceedings alleging that we are infringing their intellectual property rights, the outcome of which would be uncertain.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term loan agreement contains restrictions that potentially limit our flexibility in operating our business, and we may be required to make a prepayment or repay our outstanding indebtedness earlier than we expect.</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If we are unable to obtain or protect intellectual property rights related to any of our product candidates, we may not be able to compete effectively in our market.</w:t>
      </w:r>
    </w:p>
    <w:p>
      <w:pPr>
        <w:pStyle w:val="TextBody"/>
        <w:spacing w:before="360" w:after="0"/>
        <w:jc w:val="left"/>
        <w:rPr>
          <w:rFonts w:ascii="Times New Roman;serif" w:hAnsi="Times New Roman;serif"/>
          <w:b/>
          <w:sz w:val="20"/>
        </w:rPr>
      </w:pPr>
      <w:r>
        <w:rPr>
          <w:rFonts w:ascii="Times New Roman;serif" w:hAnsi="Times New Roman;serif"/>
          <w:b/>
          <w:sz w:val="20"/>
        </w:rPr>
        <w:t>Risks Related to our Financial Position and Capital Needs</w:t>
      </w:r>
    </w:p>
    <w:p>
      <w:pPr>
        <w:pStyle w:val="TextBody"/>
        <w:spacing w:before="120" w:after="0"/>
        <w:jc w:val="left"/>
        <w:rPr>
          <w:rFonts w:ascii="Times New Roman;serif" w:hAnsi="Times New Roman;serif"/>
          <w:b/>
          <w:i/>
          <w:sz w:val="20"/>
        </w:rPr>
      </w:pPr>
      <w:r>
        <w:rPr>
          <w:rFonts w:ascii="Times New Roman;serif" w:hAnsi="Times New Roman;serif"/>
          <w:b/>
          <w:i/>
          <w:sz w:val="20"/>
        </w:rPr>
        <w:t>We have incurred significant losses since our inception. We expect to incur losses over the next several years and may never achieve or maintain profitability. These factors raise substantial doubt regarding our ability to continue as a going concern.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our inception, we have incurred significant net losses, and we expect to continue to incur significant expenses and operating losses for the foreseeable future. Our net losses were $166.0 million and $174.5 million for the years ended December 31, 2022 and 2021, respectively. As of December 31, 2022, we had an accumulated deficit of $401.4 million. We have financed our operations with $438.5 million in gross proceeds from equity financings, including from our initial public offering, or the IPO, the sale of common stock pursuant to our Sales Agreement by and among Goldman Sachs &amp; Co. LLC, SVB Securities LLC (f/k/a SVB Leerink LLC), Wells Fargo Securities, LLC and us, dated as of October 5, 2021, as amended by Amendment No. 1 to Sales Agreement, dated March 30, 2022, or the Sales Agreement, the sale of common stock pursuant to our Underwriting Agreement, or the Underwriting Agreement, with Goldman Sachs &amp; Co. LLC, or the Underwriter, dated as of October 26, 2022, or the Follow-on Offering, pre-IPO private placements of convertible preferred stock, from our loan agreement with Silicon Valley Bank and from the option agreement dated October 21, 2022, or the Option Agreement, with Audentes Therapeutics, Inc. (d/b/a Astellas Gene Therapy), or Astellas, and the securities purchase agreement dated October 21, 2022, or the Securities Purchase Agreement (and together with the Option Agreement, the Astellas Transactions), with Astellas. We have no products approved for commercialization and have never generated any revenue from product sales.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of our product candidates are still in the clinical or preclinical development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continue to advance the preclinical and clinical development of our product candidates and preclinical and discovery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conduct our ongoing clinical trials of TSHA-102, TSHA-120 and any other current and future product candidates that we advance;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seek regulatory approval for any product candidates that successfully complete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continue to develop our gene therapy product candidate pipeline and next-generation platforms;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scale up our clinical and regulatory capabilities;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manufacture current good manufacturing practice, or cGMP, material for clinical trials or potential commercial sales;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 a commercialization infrastructure and scale up internal and external manufacturing and distribution capabilities to commercialize any product candidates for which we may obtain regulatory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adapt our regulatory compliance efforts to incorporate requirements applicable to marketed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maintain, expand and protect our intellectual property portfolio;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hire additional clinical, manufacturing quality control, regulatory, manufacturing and scientific and administrative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 operational, financial and management information systems and personnel, including personnel to support our product development and planned future commercialization efforts;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incur additional legal, accounting and other expenses in operating as a public company. </w:t>
      </w:r>
    </w:p>
    <w:p>
      <w:pPr>
        <w:pStyle w:val="TextBody"/>
        <w:spacing w:before="360" w:after="0"/>
        <w:jc w:val="left"/>
        <w:rPr>
          <w:rFonts w:ascii="Times New Roman" w:hAnsi="Times New Roman"/>
          <w:sz w:val="20"/>
        </w:rPr>
      </w:pPr>
      <w:r>
        <w:rPr>
          <w:rFonts w:ascii="Times New Roman;serif" w:hAnsi="Times New Roman;serif"/>
          <w:b w:val="false"/>
          <w:sz w:val="20"/>
        </w:rPr>
        <w:t>In 2022, we generated revenue from the Astellas Transactions; however, 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preliminary stages of most of these activities and all of our product candidates are in clinical or preclinical development. We may never succeed in these activities and, even if we do, may never generate any revenue or revenue that is significant enough to achieve profitability.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pStyle w:val="TextBody"/>
        <w:spacing w:before="120" w:after="0"/>
        <w:jc w:val="left"/>
        <w:rPr>
          <w:rFonts w:ascii="Times New Roman" w:hAnsi="Times New Roman"/>
          <w:sz w:val="20"/>
        </w:rPr>
      </w:pPr>
      <w:r>
        <w:rPr>
          <w:rFonts w:ascii="Times New Roman;serif" w:hAnsi="Times New Roman;serif"/>
          <w:b w:val="false"/>
          <w:sz w:val="20"/>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We have a limited operating history and no history of commercializing products, which may make it difficult for an investor to evaluate the success of our business to date and to assess our future viability.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clinical-stage gene therapy company with a limited operating history. We commenced operations in 2019, and our operations to date have been largely focused on organizing and staffing our company, business planning, raising capital and entering into collaboration and license agreements for conducting preclinical research and development activities for our product candidates and gene therapy pipeline. To date, we have not yet demonstrated our ability to successfully complete clinical trials, including pivotal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encounter unforeseen expenses, difficulties, complications, delays and other known or unknown factors in achieving our business objectives. We will need to develop commercial capabilities, and we may not be successful in doing so.</w:t>
      </w:r>
    </w:p>
    <w:p>
      <w:pPr>
        <w:pStyle w:val="TextBody"/>
        <w:spacing w:before="360" w:after="0"/>
        <w:jc w:val="left"/>
        <w:rPr>
          <w:rFonts w:ascii="Times New Roman;serif" w:hAnsi="Times New Roman;serif"/>
          <w:b/>
          <w:i/>
          <w:sz w:val="20"/>
        </w:rPr>
      </w:pPr>
      <w:r>
        <w:rPr>
          <w:rFonts w:ascii="Times New Roman;serif" w:hAnsi="Times New Roman;serif"/>
          <w:b/>
          <w:i/>
          <w:sz w:val="20"/>
        </w:rPr>
        <w:t>We will need substantial additional funding to meet our financial obligations and to pursue our business objectives. If we are unable to raise capital when needed, we could be forced to curtail our planned operations and the pursuit of our growth strategy.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conduct clinical trials of our product candidates, initiate future clinical trials of our product candidates, advance our preclinical programs, seek marketing approval for any product candidates that successfully complete clinical trials and advance any of our other product candidates we may develop or otherwise acquire. In addition, our product candidates, if approved, may not achieve commercial success. Our revenue, if any, primarily will be derived from sales of products that we do not expect to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December 31, 2022, we had cash and cash equivalents of $87.9 million. We believe that our existing cash and cash equivalents will be sufficient to fund our operating expenses and capital requirements into the first quarter of 2024.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progress, costs and results of discovery, preclinical development, laboratory testing and clinical trials for TSHA-102, TSHA-120 and any current and future product candidates that we advance;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access sufficient additional capital on a timely basis and on favorable terms, including with respect to our term loan facility with Silicon Valley Bank;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extent to which we develop, in-license or acquire other product candidates and technologies in our gene therapy product candidate pipeline;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costs and timing of process development and manufacturing scale-up activities associated with our product candidates and other programs as we advance them through preclinical and clinical development;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and development requirements of product candidates that we may pursue;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timing and outcome of regulatory review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headcount growth and associated costs as we expand our research and development capabilities and establish a commercial infrastructure;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and timing of future commercialization activities, including product manufacturing, marketing, sales, and distribution, for any of our product candidates for which we receive marketing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and timing of preparing, filing and prosecuting patent applications, maintaining and enforcing our intellectual property rights and defending any intellectual property-related claims;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revenue, if any, received from commercial sales of our product candidates for which we receive marketing approval;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costs of operating as a public company.</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We will require additional capital to achieve our business objectives, including to conduct our ongoing and planned clinical trials of our product candidates. Additional funds may not be available on a timely basis, on favorable terms, or at all, and such funds, if raised, may not be sufficient to enable us to continue to implement our long-term business strategy. Further, our ability to raise additional capital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including from the COVID-19 pandemic. Weakness and volatility in the capital markets and the economy in general could also increase our costs of borrowing. If we are unable to raise sufficient additional capital, we could be forced to curtail our planned operations and the pursuit of our growth strategy.</w:t>
      </w:r>
    </w:p>
    <w:p>
      <w:pPr>
        <w:pStyle w:val="TextBody"/>
        <w:spacing w:before="360" w:after="0"/>
        <w:jc w:val="left"/>
        <w:rPr>
          <w:rFonts w:ascii="Times New Roman;serif" w:hAnsi="Times New Roman;serif"/>
          <w:b/>
          <w:i/>
          <w:sz w:val="20"/>
        </w:rPr>
      </w:pPr>
      <w:r>
        <w:rPr>
          <w:rFonts w:ascii="Times New Roman;serif" w:hAnsi="Times New Roman;serif"/>
          <w:b/>
          <w:i/>
          <w:sz w:val="20"/>
        </w:rPr>
        <w:t>Our existing indebtedness contains restrictions that potentially limit our flexibility in operating our business. In addition, we may be required to make a prepayment or repay our outstanding indebtedness earlier than we expect, or we may be unable to draw down the remaining tranches under our Term Loan Agreement if we are unable to satisfy certain conditions.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12, 2021, we entered into a Loan and Security Agreement, or the Term Loan Agreement, with the lenders party thereto from time to time, or the Lenders, and Silicon Valley Bank, as administrative agent and collateral agent for the Lenders, or the Agent, which provides for term loans of up to $100.0 million in the aggregate available in four tranches. The Term Loan Agreement contains various covenants that limit our ability to engage in specified types of transactions. These covenants limit our ability to, among other things: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incur or assume certain debt;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merge or consolidate or acquire all or substantially all of the capital stock or property of another entity;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 the nature of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 our organizational structure or type;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license, transfer, or dispose of certain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grant certain types of liens on our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make certain investments;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 cash dividends;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enter into material transactions with affiliates.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A breach of any of these covenants could result in an event of default under the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Term Loan Agreement, the lenders could elect to declare all amounts outstanding to be immediately due and payable, proceed against the collateral in which we granted the Lenders a security interest under the Term Loan Agreement, or otherwise exercise the rights of a secured creditor. Amounts outstanding under the Term Loan Agreement are secured by all of our existing and future assets, excluding intellectual property, which is subject to a negative pledge arrangement.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At closing, we drew on $30.0 million of the $40.0 million available to us as part of the first tranche. We drew the remaining $10.0 million available under the first tranche on December 29, 2021.</w:t>
      </w:r>
    </w:p>
    <w:p>
      <w:pPr>
        <w:pStyle w:val="TextBody"/>
        <w:spacing w:before="240" w:after="0"/>
        <w:jc w:val="left"/>
        <w:rPr>
          <w:rFonts w:ascii="Times New Roman" w:hAnsi="Times New Roman"/>
          <w:sz w:val="20"/>
        </w:rPr>
      </w:pPr>
      <w:r>
        <w:rPr>
          <w:rFonts w:ascii="Times New Roman;serif" w:hAnsi="Times New Roman;serif"/>
          <w:b w:val="false"/>
          <w:sz w:val="20"/>
        </w:rPr>
        <w:t>We may not have enough available cash to repay or refinance our indebtedness at the time any such repayment is required. In such an event, we may be required to delay, limit, reduce, or terminate our preclinical and clinical product development or commercialization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efforts or grant others rights to develop and market product candidates that we would otherwise prefer to develop and market ourselves. Our business, financial condition, and results of operations could be materially adversely affected as a result.</w:t>
      </w:r>
    </w:p>
    <w:p>
      <w:pPr>
        <w:pStyle w:val="TextBody"/>
        <w:spacing w:before="360" w:after="0"/>
        <w:jc w:val="left"/>
        <w:rPr>
          <w:rFonts w:ascii="Times New Roman;serif" w:hAnsi="Times New Roman;serif"/>
          <w:b/>
          <w:i/>
          <w:sz w:val="20"/>
        </w:rPr>
      </w:pPr>
      <w:r>
        <w:rPr>
          <w:rFonts w:ascii="Times New Roman;serif" w:hAnsi="Times New Roman;serif"/>
          <w:b/>
          <w:i/>
          <w:sz w:val="20"/>
        </w:rPr>
        <w:t>Raising additional capital may cause dilution to our stockholders, restrict our operations or require us to relinquish rights to our technologies or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equity financing, if available, may involve agreements that include covenants limiting or restricting our ability to take specific actions, such as incurring additional debt, making capital expenditures or declaring dividends.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spacing w:before="240" w:after="0"/>
        <w:jc w:val="left"/>
        <w:rPr>
          <w:rFonts w:ascii="Times New Roman" w:hAnsi="Times New Roman"/>
          <w:sz w:val="20"/>
        </w:rPr>
      </w:pPr>
      <w:r>
        <w:rPr>
          <w:rFonts w:ascii="Times New Roman;serif" w:hAnsi="Times New Roman;serif"/>
          <w:b/>
          <w:i/>
          <w:sz w:val="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Although a statement by the U.S. Department of the Treasury, the Federal Reserve and the FDIC stated that all depositors of SVB would have access to all of their money after only one business day following the date of closure,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Unfavorable global economic conditions could adversely affect our business, financial condition or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results of operations could be adversely affected by general conditions in the global economy and in the global financial markets, including decades-high inflation and concerns of a recession in the United States or other major markets. For example, the COVID-19 pandemic has caused extreme volatility and disruptions in the capital and credit markets. In addition, Russia’s invasion of Ukraine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Risks Related to the Development of our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We are very early in our development efforts and all of our product candidates are in clinical or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very early in our development efforts and all of our product candidates are still in clinical or preclinical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ability to generate revenue from our product candidates, which we do not expect will occur for several years, if ever, will depend heavily on the successful development, regulatory approval and eventual commercialization of our product candidates. The success of TSHA-102, TSHA-120 or any other product candidates that we develop or otherwise may acquire will depend on several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effective investigational new drug applications, or INDs, from the FDA or comparable foreign applications that allow commencement of our planned clinical trials or future clinical trials for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enrollment and completion of clinical trials, including under the FDA’s current good clinical practices, or GCPs, and current Good Laboratory Practices;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timely and successful completion of preclinical studies, including toxicology studies, biodistribution studies and minimally efficacious dose studies in animals, where applicable, and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sufficiency of our financial and other resources to complete the necessary preclinical studies and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development of, or making arrangements with third-party manufacturers for, our commercial manufacturing processes for any of our product candidates that receive regulatory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receipt of timely marketing approvals from applicable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launching commercial sales of products, if approved, whether alone or in collaboration with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acceptance of the benefits and use of our products, including method of administration, if approved, by patients, the medical community and third-party payors, for their approved indications;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prevalence and severity of adverse events experienced with TSHA-102 and TSHA-120 or any other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perceived advantages, cost, safety and efficacy of alternative therapies for any product candidate, and any indications for such product candidate, that we develop;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produce TSHA-102 and TSHA-120 or any other product candidates we develop on a commercial scale;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and maintaining patent, trademark and trade secret protection and regulatory exclusivity for our product candidates and otherwise protecting our rights in our intellectual property portfolio;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maintaining compliance with regulatory requirements, including cGMPs, and complying effectively with other procedures;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and maintaining third-party coverage and adequate reimbursement and patients’ willingness to pay out-of-pocket in the absence of such coverage and adequate reimbursement;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maintaining a continued acceptable safety, tolerability and efficacy profile of the products following approval.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pStyle w:val="TextBody"/>
        <w:spacing w:before="360" w:after="0"/>
        <w:jc w:val="left"/>
        <w:rPr>
          <w:rFonts w:ascii="Times New Roman;serif" w:hAnsi="Times New Roman;serif"/>
          <w:b/>
          <w:i/>
          <w:sz w:val="20"/>
        </w:rPr>
      </w:pPr>
      <w:r>
        <w:rPr>
          <w:rFonts w:ascii="Times New Roman;serif" w:hAnsi="Times New Roman;serif"/>
          <w:b/>
          <w:i/>
          <w:sz w:val="20"/>
        </w:rPr>
        <w:t>We intend to identify and develop novel gene therapy product candidates, which makes it difficult to predict the time, cost and potential success of product candidate development.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strategy is to identify, develop and commercialize gene therapy product candidates using an AAV9 capsid for intrathecal delivery of therapeutic transgenes to certain kinds of cells. Our future success depends on the successful development of these novel therapeutic approaches. To date, very few products that utilize gene transfer have been approved in the United States or Europe and no gene therapy products that utilize an intrathecal method of administration have been approved. There have been a limited number of clinical trials of gene transduction technologies, with only two product candidates ever approved by the FDA.</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Although AAV9 has been tested in numerous clinical trials and is used in two currently approved products, we cannot be certain that our AAV9 product candidates will successfully complete preclinical studies and clinical trials, or that they will not cause significant adverse events or toxicities. We also cannot be certain that we will be able to avoid triggering toxicities in our future preclinical studies or clinical trials or that our intrathecal method of administration will not cause unforeseen side effects or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pStyle w:val="TextBody"/>
        <w:spacing w:before="360" w:after="0"/>
        <w:jc w:val="left"/>
        <w:rPr>
          <w:rFonts w:ascii="Times New Roman;serif" w:hAnsi="Times New Roman;serif"/>
          <w:b/>
          <w:i/>
          <w:sz w:val="20"/>
        </w:rPr>
      </w:pPr>
      <w:r>
        <w:rPr>
          <w:rFonts w:ascii="Times New Roman;serif" w:hAnsi="Times New Roman;serif"/>
          <w:b/>
          <w:i/>
          <w:sz w:val="20"/>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product candidates will need to meet safety and efficacy standards applicable to any new biologic under the regulatory framework administered by the FDA. In addition to FDA oversight and oversight by institutional review boards, or IRBs, under guidelines promulgated by the National Institutes of Health, or NIH, gene therapy clinical trials are also subject to review and oversight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same applies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pStyle w:val="TextBody"/>
        <w:spacing w:before="240" w:after="0"/>
        <w:jc w:val="left"/>
        <w:rPr>
          <w:rFonts w:ascii="Times New Roman" w:hAnsi="Times New Roman"/>
          <w:sz w:val="20"/>
        </w:rPr>
      </w:pPr>
      <w:r>
        <w:rPr>
          <w:rFonts w:ascii="Times New Roman;serif" w:hAnsi="Times New Roman;serif"/>
          <w:b w:val="false"/>
          <w:sz w:val="20"/>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litigation could result in expenses, delays, or other impediments to our research programs or the commercialization of resulting products. Further, approvals by one regulatory agency may not be indicative of what other regulatory agencies may require for approval.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pStyle w:val="TextBody"/>
        <w:spacing w:before="360" w:after="0"/>
        <w:jc w:val="left"/>
        <w:rPr>
          <w:rFonts w:ascii="Times New Roman;serif" w:hAnsi="Times New Roman;serif"/>
          <w:b/>
          <w:i/>
          <w:sz w:val="20"/>
        </w:rPr>
      </w:pPr>
      <w:r>
        <w:rPr>
          <w:rFonts w:ascii="Times New Roman;serif" w:hAnsi="Times New Roman;serif"/>
          <w:b/>
          <w:i/>
          <w:sz w:val="20"/>
        </w:rPr>
        <w:t>Preclinical studies and clinical trials are expensive, time-consuming, difficult to design and implement and involve an uncertain outcome. Further, we may encounter substantial delays in completing the development of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of our product candidates are in clinical or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Clinical testing is expensive and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very rare diseases, such as with TSHA-102 for the treatment of Rett syndrome and TSHA-120 for the treatment of GAN, where the very small patient population makes it difficult or impossible to conduct two traditional, adequate and well-controlled studies, and therefore the FDA or comparable foreign regulatory authorities are often required to exercise flexibility in approving therapies for such diseases. For example, in January 2023, we reported feedback from the Type B end-of-Phase 2 meeting with the FDA following receipt of the formal meeting minutes. The FDA provided additional clarity for TSHA-120 where MFM32 was acknowledged as an acceptable endpoint with a recommendation to dose additional patients in a double-blind, placebo-controlled design to support a BLA. The FDA acknowledged that our overall approach to manufacturing of commercial material was appropriate pending their review of our CMC module 3 amendment recently submitted for TSHA-120.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date, we have not completed any clinical trials required for the approval of our product candidates. We may experience delays in conducting any clinical trials and we do not know whether our clinical trials will begin on time, need to be redesigned, recruit and enroll patients on time or be completed on schedule, or at all. Events that may prevent successful or timely completion of clinical development include:</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 xml:space="preserve">inability to generate sufficient preclinical, toxicology, or other </w:t>
      </w:r>
      <w:r>
        <w:rPr>
          <w:rFonts w:ascii="Times New Roman;serif" w:hAnsi="Times New Roman;serif"/>
          <w:b w:val="false"/>
          <w:i/>
          <w:sz w:val="20"/>
        </w:rPr>
        <w:t>in vivo</w:t>
      </w:r>
      <w:r>
        <w:rPr/>
        <w:t xml:space="preserve"> </w:t>
      </w:r>
      <w:r>
        <w:rPr>
          <w:rFonts w:ascii="Times New Roman;serif" w:hAnsi="Times New Roman;serif"/>
          <w:b w:val="false"/>
          <w:sz w:val="20"/>
        </w:rPr>
        <w:t xml:space="preserve">or </w:t>
      </w:r>
      <w:r>
        <w:rPr>
          <w:rFonts w:ascii="Times New Roman;serif" w:hAnsi="Times New Roman;serif"/>
          <w:b w:val="false"/>
          <w:i/>
          <w:sz w:val="20"/>
        </w:rPr>
        <w:t>in vitro</w:t>
      </w:r>
      <w:r>
        <w:rPr/>
        <w:t xml:space="preserve"> </w:t>
      </w:r>
      <w:r>
        <w:rPr>
          <w:rFonts w:ascii="Times New Roman;serif" w:hAnsi="Times New Roman;serif"/>
          <w:b w:val="false"/>
          <w:sz w:val="20"/>
        </w:rPr>
        <w:t>data to support the initiation of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sufficiently developing, characterizing or controlling a manufacturing process suitable for advanced clinical trials, including our natural history studies;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developing suitable assays for screening patients for eligibility for trials with respect to certain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reaching agreement with the FDA, EMA or other regulatory authorities as to the design or implementation of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regulatory approval to commence a clinical trial;</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reaching an agreement on acceptable terms with clinical trial sites or prospective contract research organizations, or CROs, the terms of which can be subject to extensive negotiation and may vary significantly among different clinical trial sites;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IRB approval at each trial site;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recruiting suitable patients to participate in a clinical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having patients complete a clinical trial or return for post-treatment follow-up;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sites, CROs or other third parties deviating from trial protocol or dropping out of a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to perform in accordance with the FDA’s GCP requirements, or applicable regulatory guidelines in other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addressing patient safety concerns that arise during the course of a trial, including occurrence of adverse events associated with the product candidate that are viewed to outweigh its potential benefits;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adding a sufficient number of clinical trial sites;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manufacturing sufficient quantities of product candidate for use in clinical trials.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experience changes in regulatory requirements or guidance, or receive feedback from regulatory authorities that requires us to modify the design of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trials of our product candidates may produce negative or inconclusive results, and we may decide, or regulators may require us, to conduct additional clinical trials or abandon development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third-party contractors may fail to comply with regulatory requirements or meet their contractual obligations to us in a timely manner,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of clinical trials of our product candidates may be greater than we anticipate and we may not have funds to cover the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supply or quality of our product candidates or other materials necessary to conduct clinical trials of our product candidates may be insufficient or inadequate;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regulators may revise the requirements for approving our product candidates, or such requirements may not be as we anticipate;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future collaborators that conduct clinical trials may face any of the above issues, and may conduct clinical trials in ways they view as advantageous to them but that are suboptimal for us.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incur unplanned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 delayed in obtaining marketing approval for our product candidates or not obtain marketing approval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 marketing approval in some countries and not in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 marketing approval for indications or patient populations that are not as broad as intended or desired;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 marketing approval with labeling that includes significant use or distribution restrictions or safety warnings, including boxed warnings or Risk Evaluation and Mitigation Strategies, or REMS;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 subject to additional post-marketing testing requirements;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have the product removed from the market after obtaining marketing approval.</w:t>
      </w:r>
    </w:p>
    <w:p>
      <w:pPr>
        <w:pStyle w:val="TextBody"/>
        <w:spacing w:before="240" w:after="0"/>
        <w:jc w:val="left"/>
        <w:rPr>
          <w:rFonts w:ascii="Times New Roman" w:hAnsi="Times New Roman"/>
          <w:sz w:val="20"/>
        </w:rPr>
      </w:pPr>
      <w:r>
        <w:rPr>
          <w:rFonts w:ascii="Times New Roman;serif" w:hAnsi="Times New Roman;serif"/>
          <w:b w:val="false"/>
          <w:sz w:val="20"/>
        </w:rPr>
        <w:t>We could encounter delays if a clinical trial is suspended or terminated by us, by the IRBs of the institutions in which such trials are being conducted, by the Data Safety Monitoring Board for such trial or by the FDA, EMA or other regulatory authorities. Such authorities may impose such a suspension or termination due to a number of factors, including failure to conduct the clinical trial 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pStyle w:val="TextBody"/>
        <w:spacing w:before="360" w:after="0"/>
        <w:jc w:val="left"/>
        <w:rPr>
          <w:rFonts w:ascii="Times New Roman;serif" w:hAnsi="Times New Roman;serif"/>
          <w:b/>
          <w:i/>
          <w:sz w:val="20"/>
        </w:rPr>
      </w:pPr>
      <w:r>
        <w:rPr>
          <w:rFonts w:ascii="Times New Roman;serif" w:hAnsi="Times New Roman;serif"/>
          <w:b/>
          <w:i/>
          <w:sz w:val="20"/>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regarding clinical development programs or regulatory approval for any product candidate within the United States. In addition, we have only had limited discussions with Health Canada, and no discussions with the EMA and other comparable foreign authorities, regarding clinical development programs or regulatory approval for any product candidate outside of the United States.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Prior to obtaining approval to commercialize any drug product candidate in the United States or abroad, we must demonstrate with substantial evidence from well-controlled clinical trials, and to the satisfaction of the FDA or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invested a significant portion of our time and financial resources in the development of our preclinical product candidates. Our business is dependent on our ability to successfully complete preclinical and clinical development of, obtain regulatory approval for, and, if approved, successfully commercialize TSHA-102, TSHA-120 and any future product candidates in a timely manner.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Even if we eventually complete clinical testing and receive approval of a BLA or foreign marketing application for TSHA-102, TSHA-120 or any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pStyle w:val="TextBody"/>
        <w:spacing w:before="360" w:after="0"/>
        <w:jc w:val="left"/>
        <w:rPr>
          <w:rFonts w:ascii="Times New Roman;serif" w:hAnsi="Times New Roman;serif"/>
          <w:b/>
          <w:i/>
          <w:sz w:val="20"/>
        </w:rPr>
      </w:pPr>
      <w:r>
        <w:rPr>
          <w:rFonts w:ascii="Times New Roman;serif" w:hAnsi="Times New Roman;serif"/>
          <w:b/>
          <w:i/>
          <w:sz w:val="20"/>
        </w:rPr>
        <w:t>We have not yet completed testing of any product candidate in clinical trials. Success in preclinical studies or earlier clinical trials may not be indicative of results in future clinical trials.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positive results in preclinical studies or having successfully advanced through initial clinical trials. Further, our Phase 1/2 clinical trials of TSHA-102 and TSHA-120 will involve small patient populations.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pStyle w:val="TextBody"/>
        <w:spacing w:before="360" w:after="0"/>
        <w:jc w:val="left"/>
        <w:rPr>
          <w:rFonts w:ascii="Times New Roman;serif" w:hAnsi="Times New Roman;serif"/>
          <w:b/>
          <w:i/>
          <w:sz w:val="20"/>
        </w:rPr>
      </w:pPr>
      <w:r>
        <w:rPr>
          <w:rFonts w:ascii="Times New Roman;serif" w:hAnsi="Times New Roman;serif"/>
          <w:b/>
          <w:i/>
          <w:sz w:val="20"/>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spacing w:before="360" w:after="0"/>
        <w:jc w:val="left"/>
        <w:rPr>
          <w:rFonts w:ascii="Times New Roman;serif" w:hAnsi="Times New Roman;serif"/>
          <w:b/>
          <w:i/>
          <w:sz w:val="20"/>
        </w:rPr>
      </w:pPr>
      <w:r>
        <w:rPr>
          <w:rFonts w:ascii="Times New Roman;serif" w:hAnsi="Times New Roman;serif"/>
          <w:b/>
          <w:i/>
          <w:sz w:val="20"/>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Further, the patients evaluated in our clinical trials are often seriously ill. For example, a patient in our clinical trial of TSHA-101 succumbed to pneumonia and pleural effusion with a concomitant hospital-acquired MRSA infection, which was deemed by the principal investigator and independent DSMB not to be drug related. Any side effects or patient deaths could affect the development of our product candidates, even if deemed to not be drug related. Among the risks in any gene therapy product based on viral vectors are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While new AAV vectors have been developed to reduce side effects previously reported in third-party gene therapy treatments, and AAV9 has been generally well tolerated in clinical trials and in approved products,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w:t>
      </w:r>
    </w:p>
    <w:p>
      <w:pPr>
        <w:pStyle w:val="TextBody"/>
        <w:spacing w:before="240" w:after="0"/>
        <w:jc w:val="left"/>
        <w:rPr>
          <w:rFonts w:ascii="Times New Roman" w:hAnsi="Times New Roman"/>
          <w:sz w:val="20"/>
        </w:rPr>
      </w:pPr>
      <w:r>
        <w:rPr>
          <w:rFonts w:ascii="Times New Roman;serif" w:hAnsi="Times New Roman;serif"/>
          <w:b w:val="false"/>
          <w:sz w:val="20"/>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other AAV vectors for gene therapy, some subjects experienced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development of a T-cell antibody response, whereby after the vector is within the target cells, the cellular immune response system triggers the removal of transduced cells by activated T-cells. Other preclinical studies have suggested that high dosages of AAV administration may result in toxicity due to degeneration of the DRG. If our vectors demonstrate a similar effect in other programs, we may decide or be required to perform additional preclinical studies or to halt or delay further clinical development of our product candidates.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In addition to side effects caused by the product candidate, the administration process or related procedures also can cause adverse side effects. Each of our lead product candidates are expected to be administered by intrathecal injection. While this method of administration has been available for decades, its use for therapies is relatively new, no gene therapy is currently approved for intrathecal administration, and it may be perceived as having greater risk than more common methods of administration, such as intravenous injection.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Additionally, if one or more of our product candidates receives marketing approval, and we or others identify undesirable side effects caused by such products, a number of potentially significant negative consequences could result,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may withdraw approvals of such product;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may require additional warnings on the labels;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be required to create a medication guide outlining the risks of such side effects for distribution to patients or other requirements subject to a REMS;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could be sued and held liable for harm caused to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not be able to achieve or maintain third-party payor coverage and adequate reimbursement;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reputation and physician or patient acceptance of our products may suffer.</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pStyle w:val="TextBody"/>
        <w:spacing w:before="360" w:after="0"/>
        <w:jc w:val="left"/>
        <w:rPr>
          <w:rFonts w:ascii="Times New Roman;serif" w:hAnsi="Times New Roman;serif"/>
          <w:b/>
          <w:i/>
          <w:sz w:val="20"/>
        </w:rPr>
      </w:pPr>
      <w:r>
        <w:rPr>
          <w:rFonts w:ascii="Times New Roman;serif" w:hAnsi="Times New Roman;serif"/>
          <w:b/>
          <w:i/>
          <w:sz w:val="20"/>
        </w:rPr>
        <w:t>As an organization, we have never conducted pivotal clinical trials, and may be unable to do so for any product candidates we may develop, including TSHA-102 and TSHA-120.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need to successfully complete our ongoing and planned clinical trials, including pivotal clinical trials, in order to obtain FDA approval to market our product candidates. Carrying out later-stage clinical trials and the submission of a successful BLA is a complicated process. As an organization, we have initiated three Phase 1/2 clinical trials, have not previously conducted any later stage or pivotal clinical trials, have limited experience in preparing, submitting and prosecuting regulatory filings and have not previously submitted a BLA for any product candidate. In addition, we have had limited interactions with the FDA and cannot be certain how many additional clinical trials of our product candidates will be required or how such trials should be designed. Consequently, we may be unable to successfully and efficiently execute and complete necessary clinical trials in a way that leads to BLA submission and approval of any product candidate.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the estimated addressable patient population with typical Rett syndrome caused by a pathogenic/likely pathogenic MECP2 mutation is between 15,000 and 20,000 patients in the United States, European Union and United Kingdom, and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eligibility criteria for the trial in question;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size of the patient population and process for identifying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perceived risks and benefits of the product candidate in the trial, including relating to AAV9-based gene therapy approaches and intrathecal delivery systems;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competing commercially available therapies and other competing therapeutic candidates’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willingness of patients to be enrolled in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efforts to facilitate timely enrollment in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disruptions caused by the COVID-19 pandemic, including difficulties in initiating clinical sites, enrolling and retaining participants, diversion of healthcare resources away from clinical trials, travel or quarantine policies that may be implemented, and other factors;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patient referral practices of physicians;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monitor patients adequately during and after treatment;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proximity and availability of clinical trial sites for prospective patients.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Furthermore, even if we are able to enroll a sufficient number of patients for our clinical trials, we may have difficulty maintaining enrollment of such patients in our clinical trials.</w:t>
      </w:r>
    </w:p>
    <w:p>
      <w:pPr>
        <w:pStyle w:val="TextBody"/>
        <w:spacing w:before="360" w:after="0"/>
        <w:jc w:val="left"/>
        <w:rPr>
          <w:rFonts w:ascii="Times New Roman;serif" w:hAnsi="Times New Roman;serif"/>
          <w:b/>
          <w:i/>
          <w:sz w:val="20"/>
        </w:rPr>
      </w:pPr>
      <w:r>
        <w:rPr>
          <w:rFonts w:ascii="Times New Roman;serif" w:hAnsi="Times New Roman;serif"/>
          <w:b/>
          <w:i/>
          <w:sz w:val="20"/>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pStyle w:val="TextBody"/>
        <w:spacing w:before="240" w:after="0"/>
        <w:jc w:val="left"/>
        <w:rPr>
          <w:rFonts w:ascii="Times New Roman" w:hAnsi="Times New Roman"/>
          <w:sz w:val="20"/>
        </w:rPr>
      </w:pPr>
      <w:r>
        <w:rPr>
          <w:rFonts w:ascii="Times New Roman;serif" w:hAnsi="Times New Roman;serif"/>
          <w:b w:val="false"/>
          <w:sz w:val="20"/>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obtained orphan drug designation from the FDA for TSHA-120 for the treatment of GAN, TSHA-102 for the treatment of Rett syndrome, TSHA-101 for treatment of GM2 gangliosidosis, and TSHA-105 for the treatment of SLC13A5 deficiency. In addition, TSHA-118 has received orphan drug designation for the treatment of CLN1 disease from the FDA and EMA. 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We have received rare pediatric disease designation for TSHA-102 for the treatment of Rett syndrome, TSHA-105 for the treatment of SLC13A5 deficiency, TSHA-118 for the treatment of CLN1 disease and TSHA-120 for the treatment of GAN. However, a marketing application for TSHA-102, TSHA-105 and TSHA-118 if approved, may not meet the eligibility criteria for a PRV or the rare pediatric disease designation program may sunset before FDA is able consider us for a voucher.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received rare pediatric disease designation for TSHA-120 for the treatment of GAN, TSHA-118 for the treatment of CLN1 disease, TSHA-102 for the treatment of Rett syndrome and TSHA-105 for the treatment of SLC13A5 deficiency. Designation of a drug or biologic as a product for a rare pediatric disease does not guarantee that a BLA for such drug or biologic will meet the eligibility criteria for a rare pediatric disease PRV at the time the application is approved. Under the FDCA, we will need to request a rare pediatric disease PRV in our original BLA for TSHA-102, TSHA-105, TSHA-118, TSHA-120, and any other candidates for which we submit a marketing application. The FDA may determine that a BLA for TSHA-102, TSHA-105, TSHA-118, TSHA-120, if approved, does not meet the eligibility criteria for a PRV, including for the following reasons: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CLN1 disease, Rett syndrome, or SLC13A5 deficiency no longer meet the definition of a rare pediatric disease;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BLA contains an active ingredient that has been previously approved in a BLA;</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BLA is not deemed eligible for priority review;</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BLA is approved for a different adult indication than the rare pediatric disease for which TSHA-120, TSHA-118, TSHA-102 or TSHA-105 are designated.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authority for the FDA to award rare pediatric disease PRVs for drugs that have received rare pediatric disease designation prior to September 30, 2024 currently expires on September 30, 2026. If the BLA for TSHA-102, TSHA-105, TSHA-118, TSHA-120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w:t>
      </w:r>
    </w:p>
    <w:p>
      <w:pPr>
        <w:pStyle w:val="TextBody"/>
        <w:spacing w:before="360" w:after="0"/>
        <w:jc w:val="left"/>
        <w:rPr>
          <w:rFonts w:ascii="Times New Roman;serif" w:hAnsi="Times New Roman;serif"/>
          <w:b/>
          <w:i/>
          <w:sz w:val="20"/>
        </w:rPr>
      </w:pPr>
      <w:r>
        <w:rPr>
          <w:rFonts w:ascii="Times New Roman;serif" w:hAnsi="Times New Roman;serif"/>
          <w:b/>
          <w:i/>
          <w:sz w:val="20"/>
        </w:rPr>
        <w:t>We have received fast track designation for TSHA-118 for the treatment of CLN1 disease, and we may seek fast track designation for our other product candidates. Even if received, fast track designation may not actually lead to a faster review or approval process and does not increase the likelihood that our product candidates will receive marketing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received fast track designation for TSHA-118 for the treatment of neurocognitive manifestations of the patients with CLN1 disease, and we may seek fast track designation for our other product candidates. If a drug or biologic is intended for the treatment of a serious or life-threatening condition and the product demonstrates the potential to address unmet medical needs for this condition, the sponsor may apply for FDA fast track designation for a particular indication. There is no assurance that the FDA will grant this status to any of our other proposed product candidates. If granted, fast track designation makes a product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any assurance of ultimate FDA approval. In addition, the FDA may withdraw fast track designation at any time if it believes that the designation is no longer supported by data from our clinical development program.</w:t>
      </w:r>
    </w:p>
    <w:p>
      <w:pPr>
        <w:pStyle w:val="TextBody"/>
        <w:spacing w:before="360" w:after="0"/>
        <w:jc w:val="left"/>
        <w:rPr>
          <w:rFonts w:ascii="Times New Roman;serif" w:hAnsi="Times New Roman;serif"/>
          <w:b/>
          <w:i/>
          <w:sz w:val="20"/>
        </w:rPr>
      </w:pPr>
      <w:r>
        <w:rPr>
          <w:rFonts w:ascii="Times New Roman;serif" w:hAnsi="Times New Roman;serif"/>
          <w:b/>
          <w:i/>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we have limited financial and management resources, we must focus on development programs and product candidates that we identify for specific indications. As such, we are currently primarily focused on the development of TSHA-102 (Rett syndrome) and TSHA-120 (GAN), each of which we have advanced into clinical development. As a result, we may forego or delay pursuit of opportunities with other product candidates, including TSHA-101 (GM2 gangliosidosis), TSHA-103 (SLC6A1), TSHA-104 (SURF1), TSHA-105 (SLC13A5 deficiency), TSHA-118 (CLN1 disease), and TSHA-121 (CLN7) or for other indications for these product candidates that later prove to have greater commercial potential. Our resource allocation decisions, for example, our strategic prioritization in March 2022,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We are currently conducting our Phase 1/2 trial of TSHA-102 in Canada and plan to conduct in the future conduct additional clinical trials for our product candidates outside the United States, and the FDA and similar foreign regulatory authorities may not accept data from such trials.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conducting our Phase 1/2 clinical trial of TSHA-102 in Canada and may in the future choose to conduct additional clinical trials outside the United States, including in the United Kingdom, Europe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spacing w:before="360" w:after="0"/>
        <w:jc w:val="left"/>
        <w:rPr>
          <w:rFonts w:ascii="Times New Roman;serif" w:hAnsi="Times New Roman;serif"/>
          <w:b/>
          <w:i/>
          <w:sz w:val="20"/>
        </w:rPr>
      </w:pPr>
      <w:r>
        <w:rPr>
          <w:rFonts w:ascii="Times New Roman;serif" w:hAnsi="Times New Roman;serif"/>
          <w:b/>
          <w:i/>
          <w:sz w:val="20"/>
        </w:rPr>
        <w:t>We may not be successful in our efforts to build a pipeline of additional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model is centered on developing therapies for patients with rare, monogenic central nervous system, or CNS, disorders by establishing focused selection criteria to select, develop and advance product candidates that we believe will have a high probability of technical and regulatory success through development into commercialization. We may not be able to continue to identify and develop new product candidates, including from our next-generation platform technologies, in addition to the pipeline of product candidates that we have established through our collaboration with UT Southwestern.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pStyle w:val="TextBody"/>
        <w:spacing w:before="360" w:after="0"/>
        <w:jc w:val="left"/>
        <w:rPr>
          <w:rFonts w:ascii="Times New Roman;serif" w:hAnsi="Times New Roman;serif"/>
          <w:b/>
          <w:i/>
          <w:sz w:val="20"/>
        </w:rPr>
      </w:pPr>
      <w:r>
        <w:rPr>
          <w:rFonts w:ascii="Times New Roman;serif" w:hAnsi="Times New Roman;serif"/>
          <w:b/>
          <w:i/>
          <w:sz w:val="20"/>
        </w:rPr>
        <w:t>If we do not achieve our projected development goals in the time frames we announce and expect, the commercialization of our products may be delayed.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IND/CTA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pStyle w:val="TextBody"/>
        <w:spacing w:before="360" w:after="0"/>
        <w:jc w:val="left"/>
        <w:rPr>
          <w:rFonts w:ascii="Times New Roman;serif" w:hAnsi="Times New Roman;serif"/>
          <w:b/>
          <w:i/>
          <w:sz w:val="20"/>
        </w:rPr>
      </w:pPr>
      <w:r>
        <w:rPr>
          <w:rFonts w:ascii="Times New Roman;serif" w:hAnsi="Times New Roman;serif"/>
          <w:b/>
          <w:i/>
          <w:sz w:val="20"/>
        </w:rPr>
        <w:t>Our business and operations could be adversely affected by the effects of health epidemics, including the COVID-19 pandemic.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and operations could be adversely affected by the effects of health epidemics, including the ongoing COVID-19 virus, which was declared by the World Health Organization as a global pandemic. Remote work policies, quarantines, shelter-in-place and similar government orders, shutdowns or other restrictions on the conduct of business operations related to the COVID-19 pandemic or other health epidemics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 We expect many employees to continue to work remotely or a hybrid of in-person and remote work, which presents risks, uncertainties and costs that could affect our performance, including operational and workplace culture challenges, uncertainty regarding office space needs and heightened vulnerability to cyberattacks.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Although the timing and conduct of our current and planned clinical trials have not been impacted by the COVID-19 pandemic to date, health epidemics, including the COVID-19 pandemic, may affect the conduct of our clinical trials in the future,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difficulties or a suspension in clinical site initiation, including difficulties in recruiting clinical site investigators and clinical site staff;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interruptions in our ability to manufacture and deliver drug supply for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diversion of healthcare resources away from the conduct of clinical trials, including the diversion of hospitals serving as our clinical trial sites and hospital staff supporting the conduct of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local regulations as part of a response to the COVID-19 outbreak that may require us to change the ways in which our clinical trials are conducted, which may result in unexpected costs, or to discontinue the clinical trials altogether;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in necessary interactions with local regulators, ethics committees and other important agencies and contractors due to limitations in employee resources or forced furlough of government employees;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refusal of the FDA to accept data from clinical trials in these affected geographies.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We previously reported that a patient in our Phase 1/2 trial of TSHA-101 may have contracted COVID-19 after leaving the trial site. Although the principal investigator and independent DSMB deemed the patient’s death to not be drug related, in an abundance of caution for our patients we have made minor modifications to our trial protocol.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financial results for the year ended December 31, 2021 were not impacted by COVID-19. However, the spread of COVID-19, which has caused a broad impact globally, may materially affect us economically. While the potential economic impact brought by, and the duration of, COVID-19 may be difficult to assess or predict, it has and could continue to result in significant disruption of global financial markets, reducing our ability to access capital, which could in the future negatively affect our liquidity. In addition, a recession or market correction resulting from the spread of COVID-19 as well as related supply chain issues, labor shortages and rising inflation could materially affect our business and the value of our common stock.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global COVID-19 pandemic continues to evolve. The extent to which the COVID-19 pandemic impacts our business and operations, including our clinical development and regulatory efforts, will depend on future developments that are highly uncertain and cannot be predicted with confidence, such as the continued geographic spread of the disease, the duration and effect of any future business disruptions in the United States and other countries to contain and treat patients with the disease and the availability, timing and effectiveness of a vaccine, both domestically and globally. Accordingly, we do not yet know the full extent of potential delays or impacts on our business, our clinical and regulatory activities, our manufacturing activities, healthcare systems or the global economy as a whole. However, these impacts could adversely affect our business, financial condition, results of operations and growth prospects.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to the extent the ongoing COVID-19 pandemic adversely affects our business and results of operations, it may also have the effect of heightening many of the other risks and uncertainties described in this “Risk Factors” section.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The United Kingdom’s withdrawal from the European Union may adversely impact our ability to obtain regulatory approvals of our product candidates in the European Union, result in restrictions or imposition of taxes and duties for importing our product candidates into the European Union and require us to incur additional expenses in order to develop, manufacture and commercialize our product candidates in the European Union.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 December 31, 2020, during which European Union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pStyle w:val="TextBody"/>
        <w:spacing w:before="240" w:after="0"/>
        <w:jc w:val="left"/>
        <w:rPr>
          <w:rFonts w:ascii="Times New Roman" w:hAnsi="Times New Roman"/>
          <w:sz w:val="20"/>
        </w:rPr>
      </w:pPr>
      <w:r>
        <w:rPr>
          <w:rFonts w:ascii="Times New Roman;serif" w:hAnsi="Times New Roman;serif"/>
          <w:b w:val="false"/>
          <w:sz w:val="20"/>
        </w:rPr>
        <w:t>Since a significant proportion of the regulatory framework in the United Kingdom applicable to our business and our product candidates is derived from European Union directives and regulations, Brexit has materially impacted and could continue to further impact, the regulatory regime with respect to the development, manufacture, importation, approval and commercialization of our product candidates in the United Kingdom or the European Union. For example, Great Britain is no longer covered by the centralized procedures for obtaining European Union-wide marketing and manufacturing authorizations from the EMA and a separate process for authorization of drug products is required in Great Britain. Any delay in obtaining, or an inability to obtain, any marketing approvals, as a result of Brexit or otherwise, would limit our ability to generate revenue and achieve and sustain profitability. In addition, while the Trade and Cooperation Agreement provides for the tariff-free trade of medicinal products between the United Kingdom and the European Union there are additional non-tariff costs to such trade which did not exist prior to Brexit. Furthermore, Brexit has reduced trade between the European Union and the United Kingdom and there are frequent delays in the transit of goods between the European Union and the United Kingdom. The ongoing impact of Brexit may force us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Risks Related to the Manufacturing of our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Gene therapies are novel, complex and difficult to manufacture. We could experience manufacturing problems that result in delays in the development or commercialization of our product candidates or otherwise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manufacture of gene therapy products is technically complex and necessitates substantial expertise and capital investment. Production difficulties caused by unforeseen events may delay the availability of material for our clinical studies.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currently rely on third party contract manufacturing organizations, or CMOs, including Catalent, to manufacture our product candidates. We expect to rely on third party manufacturing organizations for our manufacturing needs for the foreseeable future. To date, our manufacturing partners have met our manufacturing requirements and quality standards for our program materials, and we expect that these organizations, primarily Catalent, will be capable of providing sufficient quantities of our program materials to meet anticipated clinical trial scale demands. While we believe that there are alternate sources of supply for our program materials that can satisfy our clinical and commercial requirements, identifying and establishing relationships with such sources, if necessary, would result in delays and additional costs, both of which could be significant.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manufacturers of pharmaceutical products must comply with strictly enforced cGMP requirements, state and federal regulations, as well as foreign requirements when applicable. Any failure of us or our CMOs to adhere to or document compliance to such regulatory requirements could lead to a delay or interruption in the availability of our program materials for clinical trials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AAV9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w:t>
      </w:r>
    </w:p>
    <w:p>
      <w:pPr>
        <w:pStyle w:val="TextBody"/>
        <w:spacing w:before="360" w:after="0"/>
        <w:jc w:val="left"/>
        <w:rPr>
          <w:rFonts w:ascii="Times New Roman" w:hAnsi="Times New Roman"/>
          <w:sz w:val="20"/>
        </w:rPr>
      </w:pPr>
      <w:r>
        <w:rPr>
          <w:rFonts w:ascii="Times New Roman;serif" w:hAnsi="Times New Roman;serif"/>
          <w:b/>
          <w:i/>
          <w:sz w:val="20"/>
        </w:rPr>
        <w:t>We and our contract manufacturers for AAV9 are subject to significant regulation with respect to manufacturing our products. The third-party manufacturing facilities on which we rely</w:t>
      </w:r>
      <w:r>
        <w:rPr>
          <w:rFonts w:ascii="Times New Roman" w:hAnsi="Times New Roman"/>
          <w:sz w:val="20"/>
        </w:rPr>
        <w:t xml:space="preserve"> </w:t>
      </w:r>
      <w:r>
        <w:rPr>
          <w:rFonts w:ascii="Times New Roman;serif" w:hAnsi="Times New Roman;serif"/>
          <w:b/>
          <w:i/>
          <w:sz w:val="20"/>
        </w:rPr>
        <w:t>may have limited capacity or fail to meet the applicable stringent regulatory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have relationships with a limited number of suppliers for the manufacturing of plasmids and viruses, components of our product candidates. However, if we experience slowdowns or problems with our facility or those of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entities involved in the preparation of therapeutics for clinical trials or commercial sale, including our existing CMOs for components of our product candidates, are subject to extensive regulation. Components of a finished therapeutic product approved for commercial sale or used in late-stage clinical trials in the European Union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are at an increased risk given that our product candidates have been and for the foreseeable future will be produced on the same manufacturing lines, which could, for example, lead to issues with cross-contamination. We or our CMOs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development and manufacturing organizations, or CDMOs, do not pass such audit or inspections. If these facilities do not pass a pre-approval plant inspection, FDA approval of the products will not be granted.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We depend on third-party suppliers for materials used in the manufacture of our product candidates, and the loss of these third-party suppliers or their inability to supply us with adequate materials could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There is substantial demand and limited supply for certain of the raw materials used to manufacture gene therapy products.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Any contamination or interruption in our manufacturing process, shortages of raw materials or failure of our suppliers of plasmids and viruses to deliver necessary components could result in delays in our clinical development or marketing schedules.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pStyle w:val="TextBody"/>
        <w:spacing w:before="360" w:after="0"/>
        <w:jc w:val="left"/>
        <w:rPr>
          <w:rFonts w:ascii="Times New Roman;serif" w:hAnsi="Times New Roman;serif"/>
          <w:b/>
          <w:i/>
          <w:sz w:val="20"/>
        </w:rPr>
      </w:pPr>
      <w:r>
        <w:rPr>
          <w:rFonts w:ascii="Times New Roman;serif" w:hAnsi="Times New Roman;serif"/>
          <w:b/>
          <w:i/>
          <w:sz w:val="20"/>
        </w:rPr>
        <w:t>Changes in methods of product candidate manufacturing or formulation may result in additional costs or delay.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pStyle w:val="TextBody"/>
        <w:spacing w:before="360" w:after="0"/>
        <w:jc w:val="left"/>
        <w:rPr>
          <w:rFonts w:ascii="Times New Roman;serif" w:hAnsi="Times New Roman;serif"/>
          <w:b/>
          <w:sz w:val="20"/>
        </w:rPr>
      </w:pPr>
      <w:r>
        <w:rPr>
          <w:rFonts w:ascii="Times New Roman;serif" w:hAnsi="Times New Roman;serif"/>
          <w:b/>
          <w:sz w:val="20"/>
        </w:rPr>
        <w:t>Risks Related to the Commercialization of our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Even if any of our product candidates receive marketing approval, they may fail to achieve the degree of market acceptance by physicians, patients, third-party payors and others in the medical community necessary for commercial success.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efficacy, safety and potential advantages compared to alternative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offer our products for sale at competitive prices;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convenience and ease of administration compared to alternative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labeling or product insert requirements of the FDA or foreign regulatory authorities, including any limitations or warnings contained in a product’s approved labeling, including any black box warning or REMS;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willingness of the target patient population to try new treatments and of physicians to prescribe these treatments;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hire and retain a sales force in the United States;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strength of marketing and distribution support;</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availability of third-party coverage and adequate reimbursement for TSHA-102 and TSHA-120 and any other product candidates, once approved;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prevalence and severity of any side effects;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restrictions on the use of our products together with other medications.</w:t>
      </w:r>
    </w:p>
    <w:p>
      <w:pPr>
        <w:pStyle w:val="TextBody"/>
        <w:spacing w:before="360" w:after="0"/>
        <w:jc w:val="left"/>
        <w:rPr>
          <w:rFonts w:ascii="Times New Roman;serif" w:hAnsi="Times New Roman;serif"/>
          <w:b/>
          <w:i/>
          <w:sz w:val="20"/>
        </w:rPr>
      </w:pPr>
      <w:r>
        <w:rPr>
          <w:rFonts w:ascii="Times New Roman;serif" w:hAnsi="Times New Roman;serif"/>
          <w:b/>
          <w:i/>
          <w:sz w:val="20"/>
        </w:rPr>
        <w:t>Negative public opinion of gene therapy and increased regulatory scrutiny of gene therapy and genetic research may adversely impact the development or commercial success of our current and future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potential therapeutic products involve introducing genetic material into a patient’s cells via intrathecal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have led to several well-publicized adverse events, including reported cases of leukemia. Although none of our current product candidates utilize murine gamma-retroviral vectors, our product candidates use AAV9 viral vectors.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that require that the expression of a therapeutic transgene be tightly regulated, such as TSHA-102, we may inadvertently cause overexpression, which could lead to numerous issues, including safety and toxicity concerns. Furthermore, these regulatory gene replacement therapy candidates require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pStyle w:val="TextBody"/>
        <w:spacing w:before="360" w:after="0"/>
        <w:jc w:val="left"/>
        <w:rPr>
          <w:rFonts w:ascii="Times New Roman;serif" w:hAnsi="Times New Roman;serif"/>
          <w:b/>
          <w:i/>
          <w:sz w:val="20"/>
        </w:rPr>
      </w:pPr>
      <w:r>
        <w:rPr>
          <w:rFonts w:ascii="Times New Roman;serif" w:hAnsi="Times New Roman;serif"/>
          <w:b/>
          <w:i/>
          <w:sz w:val="20"/>
        </w:rPr>
        <w:t>If we are unable to establish sales, marketing and distribution capabilities for TSHA-102 and TSHA-120 or any other product candidate that may receive regulatory approval, we may not be successful in commercializing those product candidates if and when they are approved.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sales or marketing infrastructure. To achieve commercial success for TSHA-102, TSHA-120, or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Factors that may inhibit our efforts to market our products on our own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inability to recruit, train and retain adequate numbers of effective sales and marketing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inability of sales personnel to obtain access to physicians in order to educate physicians about our product candidates, once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lack of complementary products to be offered by sales personnel, which may put us at a competitive disadvantage relative to companies with more extensive product lines;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unforeseen costs and expenses associated with creating an independent sales and marketing organization.</w:t>
      </w:r>
    </w:p>
    <w:p>
      <w:pPr>
        <w:pStyle w:val="TextBody"/>
        <w:spacing w:before="360" w:after="0"/>
        <w:jc w:val="left"/>
        <w:rPr>
          <w:rFonts w:ascii="Times New Roman" w:hAnsi="Times New Roman"/>
          <w:sz w:val="20"/>
        </w:rPr>
      </w:pPr>
      <w:r>
        <w:rPr>
          <w:rFonts w:ascii="Times New Roman;serif" w:hAnsi="Times New Roman;serif"/>
          <w:b w:val="false"/>
          <w:sz w:val="20"/>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pStyle w:val="TextBody"/>
        <w:spacing w:before="360" w:after="0"/>
        <w:jc w:val="left"/>
        <w:rPr>
          <w:rFonts w:ascii="Times New Roman;serif" w:hAnsi="Times New Roman;serif"/>
          <w:b/>
          <w:i/>
          <w:sz w:val="20"/>
        </w:rPr>
      </w:pPr>
      <w:r>
        <w:rPr>
          <w:rFonts w:ascii="Times New Roman;serif" w:hAnsi="Times New Roman;serif"/>
          <w:b/>
          <w:i/>
          <w:sz w:val="20"/>
        </w:rPr>
        <w:t>The affected populations for our other product candidates may be smaller than we or third parties currently project, which may affect the addressable markets for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focus our research and product development on several indications that are orphan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Annual Report on Form 10-K should be viewed with caution. Further, the data and statistical information used in this Annual Report on Form 10-K, including estimates derived from them, may differ from information and estimates made by our competitors or from current or future studies conducted by independent sources.</w:t>
      </w:r>
    </w:p>
    <w:p>
      <w:pPr>
        <w:pStyle w:val="TextBody"/>
        <w:spacing w:before="360" w:after="0"/>
        <w:jc w:val="left"/>
        <w:rPr>
          <w:rFonts w:ascii="Times New Roman;serif" w:hAnsi="Times New Roman;serif"/>
          <w:b/>
          <w:i/>
          <w:sz w:val="20"/>
        </w:rPr>
      </w:pPr>
      <w:r>
        <w:rPr>
          <w:rFonts w:ascii="Times New Roman;serif" w:hAnsi="Times New Roman;serif"/>
          <w:b/>
          <w:i/>
          <w:sz w:val="20"/>
        </w:rPr>
        <w:t>We face significant competition from other biotechnology and pharmaceutical companies, and our operating results will suffer if we fail to compete effectively.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Drug development, particularly in the gene therapy field, is highly competitive and subject to rapid and significant technological advancements. As a significant unmet medical need exists in the neurology field, particularly for the treatment of neurodegenerative diseases, neurodevelopmental disorders and genetic epilepsies, there are several large and small pharmaceutical companies focused on delivering therapeutics for the treatment of these diseases. Further, it is likely that additional drugs will become available in the future for the treatment of our target indications.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that the majority of our programs will face limited competition as there are no approved disease-modifying therapies for the treatment of the GAN, Rett syndrome, or the other development programs in our pipeline. However, we are aware that our competitors are developing product candidates for the treatment of diseases that our product candidates will target. With respect to TSHA-102, we are aware that Neurogene has a clinical stage gene therapy program for the treatment of Rett syndrome. We are also aware that Alcyone Therapeutics, the Rett Syndrome Research Trust, Amicus Therapeutics, Shape Therapeutics and Sarepta Therapeutics have disclosed the existence of discovery-stage gene therapy programs for the treatment of Rett syndrome.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biological products, that have been approved for marketing. Mergers and acquisitions in the pharmaceutical and biotechnology industries could result in even more resources being concentrated among a small number of our competitors.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will face competition from other drugs or from other non-drug products currently approved or that will be approved in the future in the neurology field, including for the treatment of diseases and disorders in the therapeutic categories we intend to target. Therefore, our ability to compete successfully will depend largely on our ability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 and commercialize drugs that are superior to other products in the market;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demonstrate through our clinical trials that our product candidates are differentiated from existing and future therapies;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attract qualified scientific, product development and commercial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 patent or other proprietary protection for our medicines;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 required regulatory approvals;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obtain coverage and adequate reimbursement from, and negotiate competitive pricing with, third-party payors; and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successfully collaborate with pharmaceutical companies in the discovery, development and commercialization of new medicines.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pStyle w:val="TextBody"/>
        <w:spacing w:before="360" w:after="0"/>
        <w:jc w:val="left"/>
        <w:rPr>
          <w:rFonts w:ascii="Times New Roman;serif" w:hAnsi="Times New Roman;serif"/>
          <w:b/>
          <w:i/>
          <w:sz w:val="20"/>
        </w:rPr>
      </w:pPr>
      <w:r>
        <w:rPr>
          <w:rFonts w:ascii="Times New Roman;serif" w:hAnsi="Times New Roman;serif"/>
          <w:b/>
          <w:i/>
          <w:sz w:val="20"/>
        </w:rPr>
        <w:t>Any product candidates for which we intend to seek approval as biologic products may face competition sooner than anticipated.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Biologics Price Competition and Innovation Act,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pStyle w:val="TextBody"/>
        <w:spacing w:before="360" w:after="0"/>
        <w:jc w:val="left"/>
        <w:rPr>
          <w:rFonts w:ascii="Times New Roman;serif" w:hAnsi="Times New Roman;serif"/>
          <w:b/>
          <w:i/>
          <w:sz w:val="20"/>
        </w:rPr>
      </w:pPr>
      <w:r>
        <w:rPr>
          <w:rFonts w:ascii="Times New Roman;serif" w:hAnsi="Times New Roman;serif"/>
          <w:b/>
          <w:i/>
          <w:sz w:val="20"/>
        </w:rPr>
        <w:t>The success of our product candidates will depend significantly on coverage and adequate reimbursement or the willingness of patients to pay for these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our success depends on obtaining and maintaining coverage and adequate reimbursement for our product candidates, including TSHA-102 for the treatment of Rett syndrome and TSHA-120 for the treatment of GAN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the U.S. Department of Health and Human Services, or HHS. CMS decides whether and to what extent products will be covered and reimbursed under Medicare and private payors tend to follow CMS to a substantial degree.</w:t>
      </w:r>
    </w:p>
    <w:p>
      <w:pPr>
        <w:pStyle w:val="TextBody"/>
        <w:spacing w:before="240" w:after="0"/>
        <w:jc w:val="left"/>
        <w:rPr>
          <w:rFonts w:ascii="Times New Roman" w:hAnsi="Times New Roman"/>
          <w:sz w:val="20"/>
        </w:rPr>
      </w:pPr>
      <w:r>
        <w:rPr>
          <w:rFonts w:ascii="Times New Roman;serif" w:hAnsi="Times New Roman;serif"/>
          <w:b w:val="false"/>
          <w:sz w:val="20"/>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can be no assurance that TSHA-102, TSHA-120,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pStyle w:val="TextBody"/>
        <w:spacing w:before="360" w:after="0"/>
        <w:jc w:val="left"/>
        <w:rPr>
          <w:rFonts w:ascii="Times New Roman;serif" w:hAnsi="Times New Roman;serif"/>
          <w:b/>
          <w:i/>
          <w:sz w:val="20"/>
        </w:rPr>
      </w:pPr>
      <w:r>
        <w:rPr>
          <w:rFonts w:ascii="Times New Roman;serif" w:hAnsi="Times New Roman;serif"/>
          <w:b/>
          <w:i/>
          <w:sz w:val="20"/>
        </w:rPr>
        <w:t>Product liability lawsuits against us could cause us to incur substantial liabilities and to limit commercialization of any products that we may develop.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decreased demand for any product candidates or drugs that we may develop;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injury to our reputation and significant negative media attention;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withdrawal of clinical trial participants;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costs to defend the related litigation;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substantial monetary awards paid to trial participants or patients;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loss of revenue;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reduced resources of our management to pursue our business strategy;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inability to commercialize any products that we may develop.</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pStyle w:val="TextBody"/>
        <w:spacing w:before="360" w:after="0"/>
        <w:jc w:val="left"/>
        <w:rPr>
          <w:rFonts w:ascii="Times New Roman;serif" w:hAnsi="Times New Roman;serif"/>
          <w:b/>
          <w:sz w:val="20"/>
        </w:rPr>
      </w:pPr>
      <w:r>
        <w:rPr>
          <w:rFonts w:ascii="Times New Roman;serif" w:hAnsi="Times New Roman;serif"/>
          <w:b/>
          <w:sz w:val="20"/>
        </w:rPr>
        <w:t>Risks Related to Our Dependence on Third Parties</w:t>
      </w:r>
    </w:p>
    <w:p>
      <w:pPr>
        <w:pStyle w:val="TextBody"/>
        <w:spacing w:before="120" w:after="0"/>
        <w:jc w:val="left"/>
        <w:rPr>
          <w:rFonts w:ascii="Times New Roman;serif" w:hAnsi="Times New Roman;serif"/>
          <w:b/>
          <w:i/>
          <w:sz w:val="20"/>
        </w:rPr>
      </w:pPr>
      <w:r>
        <w:rPr>
          <w:rFonts w:ascii="Times New Roman;serif" w:hAnsi="Times New Roman;serif"/>
          <w:b/>
          <w:i/>
          <w:sz w:val="20"/>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pStyle w:val="TextBody"/>
        <w:spacing w:before="120" w:after="0"/>
        <w:jc w:val="left"/>
        <w:rPr>
          <w:rFonts w:ascii="Times New Roman" w:hAnsi="Times New Roman"/>
          <w:sz w:val="20"/>
        </w:rPr>
      </w:pPr>
      <w:r>
        <w:rPr>
          <w:rFonts w:ascii="Times New Roman;serif" w:hAnsi="Times New Roman;serif"/>
          <w:b w:val="false"/>
          <w:sz w:val="20"/>
        </w:rPr>
        <w:t>Our collaboration with UT Southwestern is critical to our business. We entered into the UT Southwestern Agreement with UT Southwestern to discover and develop certain AAV vector-based therapeutics, and the product candidates developed under such</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collaboration currently represent all of our pipeline and discovery programs. We currently rely exclusively on UT Southwestern for all of our preclinical research and development capabilities, and in particular the UT Southwestern Gene Therapy Program under the direction of Drs. Steven Gray and Berge Minassian. Pursuant to the UT Southwestern Agreement, UT Southwestern is primarily responsible for discovery, preclinical development activities, including all IND-enabling non-clinical studies and research grade manufacturing, and other collaborative activities set forth in the plan for the funded research including leading interactions with FDA and other regulatory authorities. Either party has the right in certain circumstances to terminate the collaboration pursuant to the terms of the UT Southwestern Agreement. If UT Southwestern delays or fails to perform its obligations under the UT Southwestern Agreement, disagrees with our interpretation of the terms of the collaboration or our discovery plan or terminates our existing agreement, our pipeline of product candidates would be significantly adversely affected and our prospects will be materially harmed.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term of the research funding portion of the UT Southwestern Agreement, under which we have the ability to acquire exclusive rights to additional gene therapy products for rare, monogenic CNS indications, has been extended to extend research funding pursuant to sponsored research agreements on a program-by-program basis. UT Southwestern has also entered into collaborations with third parties, including certain of our competitors, addressing targets and disease indications outside the scope of our collaboration. As a result, UT Southwestern may have competing interests with respect to their priorities and resources. We may have disagreements with UT Southwestern with respect to the interpretation of the UT Southwestern Agreement, use of resources or otherwise that could cause our relationship with UT Southwestern to deteriorate. As a result, UT Southwestern may reduce their focus on, and resources allocated to, our programs, potentially delaying or terminating our ability to advance product candidates through preclinical studies. Additionally, if either of Dr. Gray or Dr. Minassian were to leave UT Southwestern or to otherwise no longer be meaningfully involved with us, our preclinical research and development capabilities may be substantially reduced.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Further, under the UT Southwestern Agreement, UT Southwestern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UT Southwestern Agreement, we will need to coordinate with UT Southwestern, which could slow down or hamper our ability to enforce our licensed intellectual property rights. In such event, we could face increased competition that could materially and adversely affect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pStyle w:val="TextBody"/>
        <w:spacing w:before="120" w:after="0"/>
        <w:jc w:val="left"/>
        <w:rPr>
          <w:rFonts w:ascii="Times New Roman" w:hAnsi="Times New Roman"/>
          <w:sz w:val="20"/>
        </w:rPr>
      </w:pPr>
      <w:r>
        <w:rPr>
          <w:rFonts w:ascii="Times New Roman;serif" w:hAnsi="Times New Roman;serif"/>
          <w:b w:val="false"/>
          <w:sz w:val="20"/>
        </w:rPr>
        <w:t>We have engaged CROs for our ongoing</w:t>
      </w:r>
      <w:r>
        <w:rPr>
          <w:rFonts w:ascii="Times New Roman" w:hAnsi="Times New Roman"/>
          <w:sz w:val="20"/>
        </w:rPr>
        <w:t xml:space="preserve"> </w:t>
      </w:r>
      <w:r>
        <w:rPr>
          <w:rFonts w:ascii="Times New Roman;serif" w:hAnsi="Times New Roman;serif"/>
          <w:b w:val="false"/>
          <w:sz w:val="20"/>
        </w:rPr>
        <w:t>and planned clinical trials for TSHA-102 and TSHA-120. We expect to continue to rely on third parties, including clinical data management organizations, medical institutions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 interrupted by health epidemics, including due to travel restrictions, quarantine policies, heightened exposure of CRO staff who are healthcare providers to health epidemics or prioritization of resources toward a health epidemic.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pStyle w:val="TextBody"/>
        <w:spacing w:before="240" w:after="0"/>
        <w:jc w:val="left"/>
        <w:rPr>
          <w:rFonts w:ascii="Times New Roman" w:hAnsi="Times New Roman"/>
          <w:sz w:val="20"/>
        </w:rPr>
      </w:pPr>
      <w:r>
        <w:rPr>
          <w:rFonts w:ascii="Times New Roman;serif" w:hAnsi="Times New Roman;serif"/>
          <w:b w:val="false"/>
          <w:sz w:val="20"/>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TSHA-102, TSHA-120, or any other product candidates.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pStyle w:val="TextBody"/>
        <w:spacing w:before="360" w:after="0"/>
        <w:jc w:val="left"/>
        <w:rPr>
          <w:rFonts w:ascii="Times New Roman;serif" w:hAnsi="Times New Roman;serif"/>
          <w:b/>
          <w:i/>
          <w:sz w:val="20"/>
        </w:rPr>
      </w:pPr>
      <w:r>
        <w:rPr>
          <w:rFonts w:ascii="Times New Roman;serif" w:hAnsi="Times New Roman;serif"/>
          <w:b/>
          <w:i/>
          <w:sz w:val="20"/>
        </w:rPr>
        <w:t>We may seek collaborations with third parties for the development or commercialization of our product candidates. If those collaborations are not successful, we may not be able to capitalize on the market potential of these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Collaborations involving our product candidates would pose the following risks to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have significant discretion in determining the efforts and resources that they will apply to these collaborations;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not perform their obligations as expected;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could grant exclusive rights to our collaborators that would prevent us from collaborating with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collaborator with marketing and distribution rights to one or more of our product candidates that achieve regulatory approval may not commit sufficient resources to the marketing and distribution of such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collaborators may infringe the intellectual property rights of third parties, which may expose us to litigation and potential liability;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pStyle w:val="TextBody"/>
        <w:spacing w:before="360" w:after="0"/>
        <w:jc w:val="left"/>
        <w:rPr>
          <w:rFonts w:ascii="Times New Roman;serif" w:hAnsi="Times New Roman;serif"/>
          <w:b/>
          <w:sz w:val="20"/>
        </w:rPr>
      </w:pPr>
      <w:r>
        <w:rPr>
          <w:rFonts w:ascii="Times New Roman;serif" w:hAnsi="Times New Roman;serif"/>
          <w:b/>
          <w:sz w:val="20"/>
        </w:rPr>
        <w:t>Risks Related to our Intellectual Property</w:t>
      </w:r>
    </w:p>
    <w:p>
      <w:pPr>
        <w:pStyle w:val="TextBody"/>
        <w:spacing w:before="120" w:after="0"/>
        <w:jc w:val="left"/>
        <w:rPr>
          <w:rFonts w:ascii="Times New Roman;serif" w:hAnsi="Times New Roman;serif"/>
          <w:b/>
          <w:i/>
          <w:sz w:val="20"/>
        </w:rPr>
      </w:pPr>
      <w:r>
        <w:rPr>
          <w:rFonts w:ascii="Times New Roman;serif" w:hAnsi="Times New Roman;serif"/>
          <w:b/>
          <w:i/>
          <w:sz w:val="20"/>
        </w:rPr>
        <w:t>If we are unable to obtain or protect intellectual property rights related to any of our product candidates, we may not be able to compete effectively in our market.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upon a combination of patents, trade secret protection and confidentiality agreements to protect the intellectual property related to our product candidates. Our success depends in large part on our ability to obtain and maintain patent and other intellectual property protection in the United States and in other countries with respect to our proprietary technology and product candidates.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February 16, 2023, we in-license two U.S. patents expiring in 2038-2039, two foreign patents expiring in 2028, 8 pending Patent Cooperation Treaty, or PCT, applications, 63 pending foreign patent applications and 17 pending United States utility patent applications, which, if issued, are expected to expire between 2037 and 2043, without taking into account any possible patent term adjustment, regulatory extensions, or terminal disclaimers, and assuming payment of all annuity and/or maintenance fees.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pStyle w:val="TextBody"/>
        <w:spacing w:before="240" w:after="0"/>
        <w:jc w:val="left"/>
        <w:rPr>
          <w:rFonts w:ascii="Times New Roman" w:hAnsi="Times New Roman"/>
          <w:sz w:val="20"/>
        </w:rPr>
      </w:pPr>
      <w:r>
        <w:rPr>
          <w:rFonts w:ascii="Times New Roman;serif" w:hAnsi="Times New Roman;serif"/>
          <w:b w:val="false"/>
          <w:sz w:val="20"/>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duly executed, or that our trade secrets and other confidential proprietary information will not be disclosed.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pStyle w:val="TextBody"/>
        <w:spacing w:before="360" w:after="0"/>
        <w:jc w:val="left"/>
        <w:rPr>
          <w:rFonts w:ascii="Times New Roman;serif" w:hAnsi="Times New Roman;serif"/>
          <w:b/>
          <w:i/>
          <w:sz w:val="20"/>
        </w:rPr>
      </w:pPr>
      <w:r>
        <w:rPr>
          <w:rFonts w:ascii="Times New Roman;serif" w:hAnsi="Times New Roman;serif"/>
          <w:b/>
          <w:i/>
          <w:sz w:val="20"/>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If we fail to comply with our obligations in our current and future intellectual property licenses with third parties, we could lose rights that are important to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heavily reliant upon licenses to certain patent rights and proprietary technology for the development of our product candidates, in particular the UT Southwestern Agreement and our license agreements with Queen’s University and Abeona.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pStyle w:val="TextBody"/>
        <w:spacing w:before="240" w:after="0"/>
        <w:jc w:val="left"/>
        <w:rPr>
          <w:rFonts w:ascii="Times New Roman" w:hAnsi="Times New Roman"/>
          <w:sz w:val="20"/>
        </w:rPr>
      </w:pPr>
      <w:r>
        <w:rPr>
          <w:rFonts w:ascii="Times New Roman;serif" w:hAnsi="Times New Roman;serif"/>
          <w:b w:val="false"/>
          <w:sz w:val="20"/>
        </w:rPr>
        <w:t>Termination of our current or any future license agreements would reduce or eliminate our rights under these agreements and may result in our having to negotiate new or reinstated agreements with less favorable terms or cause us to lose our rights under these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spacing w:before="360" w:after="0"/>
        <w:jc w:val="left"/>
        <w:rPr>
          <w:rFonts w:ascii="Times New Roman;serif" w:hAnsi="Times New Roman;serif"/>
          <w:b/>
          <w:i/>
          <w:sz w:val="20"/>
        </w:rPr>
      </w:pPr>
      <w:r>
        <w:rPr>
          <w:rFonts w:ascii="Times New Roman;serif" w:hAnsi="Times New Roman;serif"/>
          <w:b/>
          <w:i/>
          <w:sz w:val="20"/>
        </w:rPr>
        <w:t>Patent reform legislation could increase the uncertainties and costs surrounding the prosecution of our patent applications and the enforcement or defense of our future patents.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example, on September 16, 2011, the Leahy-Smith America Invents Act, or the Leahy-Smith Act, was signed into law. The Leahy-Smith Act included a number of significant changes to United States patent law. These included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pStyle w:val="TextBody"/>
        <w:spacing w:before="360" w:after="0"/>
        <w:jc w:val="left"/>
        <w:rPr>
          <w:rFonts w:ascii="Times New Roman;serif" w:hAnsi="Times New Roman;serif"/>
          <w:b/>
          <w:i/>
          <w:sz w:val="20"/>
        </w:rPr>
      </w:pPr>
      <w:r>
        <w:rPr>
          <w:rFonts w:ascii="Times New Roman;serif" w:hAnsi="Times New Roman;serif"/>
          <w:b/>
          <w:i/>
          <w:sz w:val="20"/>
        </w:rPr>
        <w:t>We may be involved in lawsuits to protect or enforce our patents, which could be expensive, time consuming and unsuccessful.</w:t>
      </w:r>
    </w:p>
    <w:p>
      <w:pPr>
        <w:pStyle w:val="TextBody"/>
        <w:spacing w:before="120" w:after="0"/>
        <w:jc w:val="left"/>
        <w:rPr>
          <w:rFonts w:ascii="Times New Roman" w:hAnsi="Times New Roman"/>
          <w:sz w:val="20"/>
        </w:rPr>
      </w:pPr>
      <w:r>
        <w:rPr>
          <w:rFonts w:ascii="Times New Roman;serif" w:hAnsi="Times New Roman;serif"/>
          <w:b w:val="false"/>
          <w:sz w:val="20"/>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spacing w:before="360" w:after="0"/>
        <w:jc w:val="left"/>
        <w:rPr>
          <w:rFonts w:ascii="Times New Roman;serif" w:hAnsi="Times New Roman;serif"/>
          <w:b/>
          <w:i/>
          <w:sz w:val="20"/>
        </w:rPr>
      </w:pPr>
      <w:r>
        <w:rPr>
          <w:rFonts w:ascii="Times New Roman;serif" w:hAnsi="Times New Roman;serif"/>
          <w:b/>
          <w:i/>
          <w:sz w:val="20"/>
        </w:rPr>
        <w:t>We may be unsuccessful in licensing or acquiring intellectual property from third parties that may be required to develop and commercialize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Third parties may initiate legal proceedings alleging that we are infringing their intellectual property rights, the outcome of which would be uncertain.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TSHA-102, TSHA-120 or any future product candidates. In order to successfully challenge the validity of any such United States patent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pStyle w:val="TextBody"/>
        <w:spacing w:before="240" w:after="0"/>
        <w:jc w:val="left"/>
        <w:rPr>
          <w:rFonts w:ascii="Times New Roman" w:hAnsi="Times New Roman"/>
          <w:sz w:val="20"/>
        </w:rPr>
      </w:pPr>
      <w:r>
        <w:rPr>
          <w:rFonts w:ascii="Times New Roman;serif" w:hAnsi="Times New Roman;serif"/>
          <w:b w:val="false"/>
          <w:sz w:val="20"/>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threatened or brought against us, we could be forced to stop or delay research, development, manufacturing or sales of the drug or product candidate that is the subject of the actual or threatened suit.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aware of issued patent or patents issued to REGENX that claim AAV vectors that have an AAV9 capsid serotype. If we commercialize any of our product candidates prior to the expiry of those patents in 2026 without a license, the patent owner could bring an action claiming infringement. 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spacing w:before="360" w:after="0"/>
        <w:jc w:val="left"/>
        <w:rPr>
          <w:rFonts w:ascii="Times New Roman;serif" w:hAnsi="Times New Roman;serif"/>
          <w:b/>
          <w:i/>
          <w:sz w:val="20"/>
        </w:rPr>
      </w:pPr>
      <w:r>
        <w:rPr>
          <w:rFonts w:ascii="Times New Roman;serif" w:hAnsi="Times New Roman;serif"/>
          <w:b/>
          <w:i/>
          <w:sz w:val="20"/>
        </w:rPr>
        <w:t>We may be subject to claims that our employees, consultants, or independent contractors have wrongfully used or disclosed confidential information of third parties.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w:t>
      </w:r>
    </w:p>
    <w:p>
      <w:pPr>
        <w:pStyle w:val="TextBody"/>
        <w:spacing w:before="360" w:after="0"/>
        <w:jc w:val="left"/>
        <w:rPr>
          <w:rFonts w:ascii="Times New Roman;serif" w:hAnsi="Times New Roman;serif"/>
          <w:b/>
          <w:i/>
          <w:sz w:val="20"/>
        </w:rPr>
      </w:pPr>
      <w:r>
        <w:rPr>
          <w:rFonts w:ascii="Times New Roman;serif" w:hAnsi="Times New Roman;serif"/>
          <w:b/>
          <w:i/>
          <w:sz w:val="20"/>
        </w:rPr>
        <w:t>We may be subject to claims challenging the inventorship or ownership of our future patents and other intellectual property.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spacing w:before="360" w:after="0"/>
        <w:jc w:val="left"/>
        <w:rPr>
          <w:rFonts w:ascii="Times New Roman;serif" w:hAnsi="Times New Roman;serif"/>
          <w:b/>
          <w:i/>
          <w:sz w:val="20"/>
        </w:rPr>
      </w:pPr>
      <w:r>
        <w:rPr>
          <w:rFonts w:ascii="Times New Roman;serif" w:hAnsi="Times New Roman;serif"/>
          <w:b/>
          <w:i/>
          <w:sz w:val="20"/>
        </w:rPr>
        <w:t>Reliance on third parties requires us to share our trade secrets, which increases the possibility that a competitor will discover them or that our trade secrets will be misappropriated or disclosed.</w:t>
      </w:r>
    </w:p>
    <w:p>
      <w:pPr>
        <w:pStyle w:val="TextBody"/>
        <w:spacing w:before="120" w:after="0"/>
        <w:jc w:val="left"/>
        <w:rPr>
          <w:rFonts w:ascii="Times New Roman" w:hAnsi="Times New Roman"/>
          <w:sz w:val="20"/>
        </w:rPr>
      </w:pPr>
      <w:r>
        <w:rPr>
          <w:rFonts w:ascii="Times New Roman;serif" w:hAnsi="Times New Roman;serif"/>
          <w:b w:val="false"/>
          <w:sz w:val="20"/>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Given that our proprietary position is based, in part, on our know-how and trade secrets, a competitor’s discovery of our trade secrets or other unauthorized use or disclosure could have an adverse effect on our business and results of operations.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pStyle w:val="TextBody"/>
        <w:spacing w:before="360" w:after="0"/>
        <w:jc w:val="left"/>
        <w:rPr>
          <w:rFonts w:ascii="Times New Roman;serif" w:hAnsi="Times New Roman;serif"/>
          <w:b/>
          <w:i/>
          <w:sz w:val="20"/>
        </w:rPr>
      </w:pPr>
      <w:r>
        <w:rPr>
          <w:rFonts w:ascii="Times New Roman;serif" w:hAnsi="Times New Roman;serif"/>
          <w:b/>
          <w:i/>
          <w:sz w:val="20"/>
        </w:rPr>
        <w:t>We may enjoy only limited geographical protection with respect to certain patents and we may not be able to protect our intellectual property rights throughout the world.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240" w:after="0"/>
        <w:jc w:val="left"/>
        <w:rPr>
          <w:rFonts w:ascii="Times New Roman" w:hAnsi="Times New Roman"/>
          <w:sz w:val="20"/>
        </w:rPr>
      </w:pPr>
      <w:r>
        <w:rPr>
          <w:rFonts w:ascii="Times New Roman;serif" w:hAnsi="Times New Roman;serif"/>
          <w:b w:val="false"/>
          <w:sz w:val="20"/>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spacing w:before="120" w:after="0"/>
        <w:jc w:val="left"/>
        <w:rPr>
          <w:rFonts w:ascii="Times New Roman" w:hAnsi="Times New Roman"/>
          <w:sz w:val="20"/>
        </w:rPr>
      </w:pPr>
      <w:r>
        <w:rPr>
          <w:rFonts w:ascii="Times New Roman;serif" w:hAnsi="Times New Roman;serif"/>
          <w:b w:val="false"/>
          <w:sz w:val="20"/>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Any trademarks we have obtained or may obtain may be infringed or otherwise violated, or successfully challenged, resulting in harm to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to rely on trademarks as one means to distinguish our product candidates, if approved for marketing, from the drugs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Intellectual property rights do not necessarily address all potential threats to our competitive advantage.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others may be able to make products that are similar to or otherwise competitive with our product candidates but that are not covered by the claims of our current or future patents;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in-license necessary for the manufacture, use, sale, offer for sale or importation of one or more of our product candidates may be terminated by the licensor;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future collaborators might not have been the first to make the inventions covered by our issued or future issued patents or our pending patent applications;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future collaborators might not have been the first to file patent applications covering certain of our inventions;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others may independently develop similar or alternative technologies or duplicate any of our technologies without infringing our intellectual property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it is possible that our pending patent applications will not lead to issued patents;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issued patents that we own or in-license may be held invalid or unenforceable as a result of legal challenges by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issued patents that we own or in-license may not provide coverage for all aspects of our product candidates in all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not develop additional proprietary technologies that are patentable;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patents of others may have an adverse effect on our business.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Should any of these events occur, they could significantly harm our business, results of operations and prospects.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Risks Related to Legal and Regulatory Compliance Matters</w:t>
      </w:r>
    </w:p>
    <w:p>
      <w:pPr>
        <w:pStyle w:val="TextBody"/>
        <w:spacing w:before="120" w:after="0"/>
        <w:jc w:val="left"/>
        <w:rPr>
          <w:rFonts w:ascii="Times New Roman;serif" w:hAnsi="Times New Roman;serif"/>
          <w:b/>
          <w:i/>
          <w:sz w:val="20"/>
        </w:rPr>
      </w:pPr>
      <w:r>
        <w:rPr>
          <w:rFonts w:ascii="Times New Roman;serif" w:hAnsi="Times New Roman;serif"/>
          <w:b/>
          <w:i/>
          <w:sz w:val="20"/>
        </w:rPr>
        <w:t>Our relationships with customers, healthcare providers, including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In addition, the Patient Protection and Affordable Care Act, as amended by the Health Care and Education Reconciliation Act, or collectively, the ACA, signed into law in 2010, provides that the government may assert that a claim including items or services resulting from a violation of the federal Anti-Kickback Statute constitutes a false or fraudulent claim for purposes of the federal False Claims Act;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HIPAA, as amended by the Health Information Technology for Economic and Clinical Health Act, or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payments or other “transfers of value’’ made to physicians (defined to include doctors, dentists, optometrists, podiatrists and chiropractors), other health care professionals (such as physician assistants and nurse practitioners), and teaching hospitals, and (ii) ownership and investment interests held by physicians and their immediate family members;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spacing w:before="240" w:after="0"/>
        <w:jc w:val="left"/>
        <w:rPr>
          <w:rFonts w:ascii="Times New Roman;serif" w:hAnsi="Times New Roman;serif"/>
          <w:b/>
          <w:i/>
          <w:sz w:val="20"/>
        </w:rPr>
      </w:pPr>
      <w:r>
        <w:rPr>
          <w:rFonts w:ascii="Times New Roman;serif" w:hAnsi="Times New Roman;serif"/>
          <w:b/>
          <w:i/>
          <w:sz w:val="20"/>
        </w:rPr>
        <w:t>Even if we obtain regulatory approval for TSHA-102, TSHA-120, or any future product candidates, they will remain subject to ongoing regulatory oversight.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obtain any regulatory approval for TSHA-102, TSHA-120, or any future product candidates, such product candidates, once approved, will be subject to ongoing regulatory requirements applicable to manufacturing, labeling, packaging, storage, advertising, promoting, sampling, record-keeping and submitting of safety and other post-market information, among other things. Any regulatory approvals that we receive for TSHA-102, TSHA-120, or any future product candidates may also be subject to a REMS, limitations on the approved indicated uses for which the drug may be marketed or to the conditions of approval, or requirements that we conduct potentially costly post-marketing testing,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If we fail to comply with applicable regulatory requirements following approval of TSHA-102, TSHA-120, or any future product candidates, a regulatory authority may: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issue an untitled letter or warning letter asserting that we are in violation of the law;</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seek an injunction or impose administrative, civil or criminal penalties or monetary fines;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suspend or withdraw regulatory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suspend any ongoing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refuse to approve a pending BLA or comparable foreign marketing application (or any supplements thereto) submitted by us or our strategic partners;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 the marketing or manufacturing of the drug;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seize or detain the drug or otherwise require the withdrawal of the drug from the market;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refuse to permit the import or export of product candidates;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refuse to allow us to enter into supply contracts, including government contracts.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TSHA-102, TSHA-120 or any future product candidates and harm our business, financial condition, results of operations and prospects.</w:t>
      </w:r>
    </w:p>
    <w:p>
      <w:pPr>
        <w:pStyle w:val="TextBody"/>
        <w:spacing w:before="360" w:after="0"/>
        <w:jc w:val="left"/>
        <w:rPr>
          <w:rFonts w:ascii="Times New Roman;serif" w:hAnsi="Times New Roman;serif"/>
          <w:b/>
          <w:i/>
          <w:sz w:val="20"/>
        </w:rPr>
      </w:pPr>
      <w:r>
        <w:rPr>
          <w:rFonts w:ascii="Times New Roman;serif" w:hAnsi="Times New Roman;serif"/>
          <w:b/>
          <w:i/>
          <w:sz w:val="20"/>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order to market any products in any particular jurisdiction, we must establish and comply with numerous and varying regulatory requirements on a country-by-country basis regarding safety and efficacy.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pStyle w:val="TextBody"/>
        <w:spacing w:before="360" w:after="0"/>
        <w:jc w:val="left"/>
        <w:rPr>
          <w:rFonts w:ascii="Times New Roman;serif" w:hAnsi="Times New Roman;serif"/>
          <w:b/>
          <w:i/>
          <w:sz w:val="20"/>
        </w:rPr>
      </w:pPr>
      <w:r>
        <w:rPr>
          <w:rFonts w:ascii="Times New Roman;serif" w:hAnsi="Times New Roman;serif"/>
          <w:b/>
          <w:i/>
          <w:sz w:val="20"/>
        </w:rPr>
        <w:t>Healthcare legislative or regulatory reform measures may have a negative impact on our business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pStyle w:val="TextBody"/>
        <w:spacing w:before="240" w:after="0"/>
        <w:jc w:val="left"/>
        <w:rPr>
          <w:rFonts w:ascii="Times New Roman" w:hAnsi="Times New Roman"/>
          <w:sz w:val="20"/>
        </w:rPr>
      </w:pPr>
      <w:r>
        <w:rPr>
          <w:rFonts w:ascii="Times New Roman;serif" w:hAnsi="Times New Roman;serif"/>
          <w:b w:val="false"/>
          <w:sz w:val="20"/>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United States pharmaceutical industry. The ACA, among other things: (i) established an annual, nondeductible fee on any entity that manufactures or imports certain specified branded prescription drugs and biologic agents apportioned among these entities according to their market share in some government healthcare programs; (ii) expanded the entities eligible for discounts under the 340B drug pricing program; (iii) increased the statutory minimum rebates a manufacturer must pay under the Medicaid Drug Rebate Program to 23.1% and 13% of the average manufacturer price, or AMP, for most branded and generic drugs, respectively, and capped the total rebate amount for innovator drugs at 100% of the AMP; (iv) expanded the eligibility criteria for Medicaid programs by, among other things, allowing states to offer Medicaid coverage to additional individuals and by adding new eligibility categories for individuals with income at or below 133% (as calculated, it constitutes 138%) of the federal poverty level, thereby potentially increasing manufacturers’ Medicaid rebate liability; (v) addressed a new methodology by which rebates owed by manufacturers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the Medicaid Drug Rebate Program are calculated for certain drugs and biologics that are inhaled, infused, instilled, implanted or injected; (vi) introduced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(increased from 50%, effective January 1, 2019, pursuant to the Bipartisan Budget Act of 2018); (vii) created a new Patient-Centered Outcomes Research Institute to oversee, identify priorities in, and conduct comparative clinical effectiveness research, along with funding for such research; and (viii) established the Center for Medicare and Medicaid Innovation at CMS to test innovative payment and service delivery models to lower Medicare and Medicaid spending, potentially including prescription drug.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have been judicial, congressional, and executive branch challenges to certain aspects of the ACA, including efforts to repeal or replace certain aspects of the ACA. For example,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any additional healthcare reform measures of the Biden administration will impact the ACA and our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will remain in effect until 2032, unless additional congressional action is taken.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considering additional health reform measures.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Additionally,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FDA regulations and guidance may be revised or reinterpreted by the FDA in ways that may significantly affect our business and our products. Any new regulations or guidance, or revisions or reinterpretations of existing regulations or guidance, may impose additional costs or lengthen FDA review times for TSHA-102, TSHA-120, or any future product candidates. We cannot determine how changes in regulations, statutes, policies, or interpretations when and if issued, enacted or adopted, may affect our business in the future. Such changes could, among other things, require: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 clinical trials to be conducted prior to obtaining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to manufacturing methods;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recalls, replacements, or discontinuance of one or more of our products;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additional recordkeeping.</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Such changes would likely require substantial time and impose significant costs, or could reduce the potential commercial value of TSHA-102, TSHA-120,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pStyle w:val="TextBody"/>
        <w:spacing w:before="360" w:after="0"/>
        <w:jc w:val="left"/>
        <w:rPr>
          <w:rFonts w:ascii="Times New Roman;serif" w:hAnsi="Times New Roman;serif"/>
          <w:b/>
          <w:i/>
          <w:sz w:val="20"/>
        </w:rPr>
      </w:pPr>
      <w:r>
        <w:rPr>
          <w:rFonts w:ascii="Times New Roman;serif" w:hAnsi="Times New Roman;serif"/>
          <w:b/>
          <w:i/>
          <w:sz w:val="20"/>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or SEC, and other government agencies on which our operations may rely, including those that fund research and development activities, is subject to the political process, which is inherently fluid and unpredictable.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spacing w:before="360" w:after="0"/>
        <w:jc w:val="left"/>
        <w:rPr>
          <w:rFonts w:ascii="Times New Roman;serif" w:hAnsi="Times New Roman;serif"/>
          <w:b/>
          <w:sz w:val="20"/>
        </w:rPr>
      </w:pPr>
      <w:r>
        <w:rPr>
          <w:rFonts w:ascii="Times New Roman;serif" w:hAnsi="Times New Roman;serif"/>
          <w:b/>
          <w:sz w:val="20"/>
        </w:rPr>
        <w:t>Risks Related to Employee Matters and Managing our Growth</w:t>
      </w:r>
    </w:p>
    <w:p>
      <w:pPr>
        <w:pStyle w:val="TextBody"/>
        <w:spacing w:before="120" w:after="0"/>
        <w:jc w:val="left"/>
        <w:rPr>
          <w:rFonts w:ascii="Times New Roman;serif" w:hAnsi="Times New Roman;serif"/>
          <w:b/>
          <w:i/>
          <w:sz w:val="20"/>
        </w:rPr>
      </w:pPr>
      <w:r>
        <w:rPr>
          <w:rFonts w:ascii="Times New Roman;serif" w:hAnsi="Times New Roman;serif"/>
          <w:b/>
          <w:i/>
          <w:sz w:val="20"/>
        </w:rPr>
        <w:t>Our future success depends on our ability to retain key executives and to attract, retain and motivate qualified personnel, and recent changes to our team might harm future operating results.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pStyle w:val="TextBody"/>
        <w:spacing w:before="240" w:after="0"/>
        <w:jc w:val="left"/>
        <w:rPr>
          <w:rFonts w:ascii="Times New Roman" w:hAnsi="Times New Roman"/>
          <w:sz w:val="20"/>
        </w:rPr>
      </w:pPr>
      <w:r>
        <w:rPr>
          <w:rFonts w:ascii="Times New Roman;serif" w:hAnsi="Times New Roman;serif"/>
          <w:b w:val="false"/>
          <w:sz w:val="20"/>
        </w:rPr>
        <w:t>In March 2022, as part of our strategic prioritization initiatives to improve operating efficiency, we reduced our headcount by approximately 35%, and throughout 2022 and early 2023 we further reduced headcount, including the separations of our former Chief Executive Officer, Chief Medical Officer and Chief Development Officer. These reductions resulted in a year-over-year reduction in headcount of 63% at December 31, 2022 as compared to December 31, 2021. As of December 31, 2022, we had 65 employees. As a result of our headcount reductions, we have engaged various outside consultants, principally in the areas of clinical development and clinical operations. Although we believe these employee transitions are in the best interest of our company and our stockholders, these transitions may result in the loss of personnel with deep institutional or technical knowledge. Further, the transition could potentially disrupt our operations and relationships with employees, suppliers and partners and due to added costs, operational inefficiencies, decreased employee morale and productivity and increased turnover. In addition, our competitors may seek to use these transitions and the related potential disruptions to gain a competitive advantage over us. Furthermore, these changes increase our dependency on the other members of our leadership team and clinical and preclinical operations teams that remain with us, who are not contractually obligated to remain employed with us and may leave at any time. Any such departure could be particularly disruptive and, to the extent we experience additional turnover, competition for top talent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 and financial condition may be adversely affected.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Such competition may increase due to the recent move by companies to offer a remote or hybrid work environment.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Further, we may experience employee turnover, consistent with high numbers of employee resignations across the broader American economy, that would have an adverse impact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If we are unable to continue to attract and retain high quality personnel, motivate existing employees or maintain our corporate culture in a hybrid or remote work environment, particularly if we experience increased turnover, our ability to pursue our growth strategy will be limited.</w:t>
      </w:r>
    </w:p>
    <w:p>
      <w:pPr>
        <w:pStyle w:val="TextBody"/>
        <w:spacing w:before="360" w:after="0"/>
        <w:jc w:val="left"/>
        <w:rPr>
          <w:rFonts w:ascii="Times New Roman;serif" w:hAnsi="Times New Roman;serif"/>
          <w:b/>
          <w:i/>
          <w:sz w:val="20"/>
        </w:rPr>
      </w:pPr>
      <w:r>
        <w:rPr>
          <w:rFonts w:ascii="Times New Roman;serif" w:hAnsi="Times New Roman;serif"/>
          <w:b/>
          <w:i/>
          <w:sz w:val="20"/>
        </w:rPr>
        <w:t>Our employees, independent contractors, consultants, collaborators, principal investigators, CROs, suppliers and vendors may engage in misconduct or other improper activities, including non-compliance with regulatory standards and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pStyle w:val="TextBody"/>
        <w:spacing w:before="360" w:after="0"/>
        <w:jc w:val="left"/>
        <w:rPr>
          <w:rFonts w:ascii="Times New Roman" w:hAnsi="Times New Roman"/>
          <w:sz w:val="20"/>
        </w:rPr>
      </w:pPr>
      <w:r>
        <w:rPr>
          <w:rFonts w:ascii="Times New Roman;serif" w:hAnsi="Times New Roman;serif"/>
          <w:b/>
          <w:sz w:val="20"/>
        </w:rPr>
        <w:t>Risks Related to Ownership of our Common Stock</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The trading price of the shares of our common stock may be volatile, and purchasers of our common stock could incur substantial losses.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stock price may be volatile. The stock market in general and the market for biopharmaceutical companies in particular have experienced extreme volatility that has often been unrelated to the operating performance of particular companies. Specifically, from September 24, 2020, the date our stock began trading on Nasdaq, through February 27, 2023 our stock price fluctuated from a low of $0.91 to a high of $33.35 per share. As a result of this volatility, investors may not be able to sell their common stock at or above the price paid for the shares. The market price for our common stock may be influenced by many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reporting of unfavorable preclinical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commencement, enrollment or results of our clinical trials of TSHA-102, TSHA-120, or any future clinical trials we may conduct, or changes in the development status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delay in our regulatory filings for TSHA-102, TSHA-120,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inability to obtain additional funding;</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failure by us to comply with the terms of our Term Loan Agreement;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adverse results from, delays in or termination of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adverse regulatory decisions, including failure to receive regulatory approval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unanticipated serious safety concerns related to the use of TSHA-102, TSHA-120, or any other product candidate;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financial estimates by us or by any equity research analysts who might cover our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conditions or trends in our industry;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market valuations of similar companies;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reports of adverse events in other gene therapy products or clinical studies of such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stock market price and volume fluctuations of comparable companies and, in particular, those that operate in the biopharmaceutical industry;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publication of research reports about us or our industry or positive or negative recommendations or withdrawal of research coverage by securities analysts;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by us or our competitors of significant acquisitions, strategic partnerships or divestitures;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relationships with our collaborators;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of investigations or regulatory scrutiny of our operations or lawsuits filed against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investors’ general perception of our company and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recruitment or departure of key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overall performance of the equity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trading volume of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disputes or other developments relating to proprietary rights, including patents, litigation matters and our ability to obtain patent protection for our technologies;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lawsuits, including patent or stockholder litigation;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structure of healthcare payment systems;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political and economic conditions;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other events or factors, many of which are beyond our control.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inflation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If equity research analysts do not publish research or reports, or publish unfavorable research or reports, about us, our business or our market, our stock price and trading volume could decline.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A significant portion of our total outstanding shares are restricted from immediate resale but may be sold into the market in the near future. This could cause the market price of our common stock to drop significantly, even if our business is doing well.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of a substantial number of shares of our common stock in the public market could occur at any time. Additionally, the holders of an aggregate of approximately 17.7 million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at which time such shares will be freely tradable. 7,266,342 shares are subject to a lock-up pursuant to the terms of the Securities Purchase Agreement, which expires 180 days after October 24, 2022. If our stockholders sell, or the market perceives that our stockholders intend to sell, substantial amounts of our common stock in the public market, the market price of our common stock could decline significantly.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we have filed registration statements on Form S-8 under the Securities Act of 1933, as amended, or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pStyle w:val="TextBody"/>
        <w:spacing w:before="360" w:after="0"/>
        <w:jc w:val="left"/>
        <w:rPr>
          <w:rFonts w:ascii="Times New Roman" w:hAnsi="Times New Roman"/>
          <w:sz w:val="20"/>
        </w:rPr>
      </w:pPr>
      <w:r>
        <w:rPr>
          <w:rFonts w:ascii="Times New Roman;serif" w:hAnsi="Times New Roman;serif"/>
          <w:b/>
          <w:i/>
          <w:sz w:val="20"/>
        </w:rPr>
        <w:t>An active trading market for our common stock may not continue to be developed or sustained.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Prior to our initial public offering, there was no public market for our common stock. Although our common stock is listed on The Nasdaq Global Market, an active trading market for our shares may never develop or be sustained. If an active market for our common stock does not develop or is not sustained, it may be difficult for you to sell shares of our common stock at an attractive price or at all.</w:t>
      </w:r>
    </w:p>
    <w:p>
      <w:pPr>
        <w:pStyle w:val="TextBody"/>
        <w:spacing w:before="360" w:after="0"/>
        <w:jc w:val="left"/>
        <w:rPr>
          <w:rFonts w:ascii="Times New Roman;serif" w:hAnsi="Times New Roman;serif"/>
          <w:b/>
          <w:i/>
          <w:sz w:val="20"/>
        </w:rPr>
      </w:pPr>
      <w:r>
        <w:rPr>
          <w:rFonts w:ascii="Times New Roman;serif" w:hAnsi="Times New Roman;serif"/>
          <w:b/>
          <w:i/>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Our charter documents also contain other provisions that could have an anti-takeover effect,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only one of our three classes of directors will be elected each year;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stockholders will not be entitled to remove directors other than by a 66 2/3% vote and only for cause;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stockholders will not be permitted to take actions by written consent;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stockholders cannot call a special meeting of stockholders;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stockholders must give advance notice to nominate directors or submit proposals for consideration at stockholder meetings.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spacing w:before="360" w:after="0"/>
        <w:jc w:val="left"/>
        <w:rPr>
          <w:rFonts w:ascii="Times New Roman;serif" w:hAnsi="Times New Roman;serif"/>
          <w:b/>
          <w:i/>
          <w:sz w:val="20"/>
        </w:rPr>
      </w:pPr>
      <w:r>
        <w:rPr>
          <w:rFonts w:ascii="Times New Roman;serif" w:hAnsi="Times New Roman;serif"/>
          <w:b/>
          <w:i/>
          <w:sz w:val="20"/>
        </w:rPr>
        <w:t>Concentration of ownership of our common stock among our existing executive officers, directors and principal stockholders may prevent new investors from influencing significant corporate decisions.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executive officers, directors and current beneficial owners of 5% or more of our common stock and their respective affiliates beneficially own a majority of our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pStyle w:val="TextBody"/>
        <w:spacing w:before="360" w:after="0"/>
        <w:jc w:val="left"/>
        <w:rPr>
          <w:rFonts w:ascii="Times New Roman;serif" w:hAnsi="Times New Roman;serif"/>
          <w:b/>
          <w:i/>
          <w:sz w:val="20"/>
        </w:rPr>
      </w:pPr>
      <w:r>
        <w:rPr>
          <w:rFonts w:ascii="Times New Roman;serif" w:hAnsi="Times New Roman;serif"/>
          <w:b/>
          <w:i/>
          <w:sz w:val="20"/>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being required to comply with the auditor attestation requirements in the assessment of our internal control over financial reporting;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reduced disclosure obligations regarding executive compensation in our periodic reports, proxy statements and registration statements;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not being required to hold a nonbinding advisory vote on executive compensation and stockholder approval of any golden parachute payments not previously approved.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December 31, 2025 or, if earlier, (i) the last day of the fiscal year in which we have total annual gross revenue of at least $1.235 billion, (ii) the date on which we are deemed to be a large accelerated filer, which means the market value of our common stock that is held by non-affiliates exceeds $700 million as of the prior June 30th, or (iii) the date on which we have issued more than $1.0 billion in non-convertible debt during the prior three-year period.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pStyle w:val="TextBody"/>
        <w:spacing w:before="360" w:after="0"/>
        <w:jc w:val="left"/>
        <w:rPr>
          <w:rFonts w:ascii="Times New Roman;serif" w:hAnsi="Times New Roman;serif"/>
          <w:b/>
          <w:i/>
          <w:sz w:val="20"/>
        </w:rPr>
      </w:pPr>
      <w:r>
        <w:rPr>
          <w:rFonts w:ascii="Times New Roman;serif" w:hAnsi="Times New Roman;serif"/>
          <w:b/>
          <w:i/>
          <w:sz w:val="20"/>
        </w:rPr>
        <w:t>We have broad discretion in the use our cash and cash equivalents.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broad discretion over the use of our cash and cash equivalents.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these net proceeds. You will not have the opportunity to influence our decisions on how to use our cash and cash equivalents.</w:t>
      </w:r>
    </w:p>
    <w:p>
      <w:pPr>
        <w:pStyle w:val="TextBody"/>
        <w:spacing w:before="360" w:after="0"/>
        <w:jc w:val="left"/>
        <w:rPr>
          <w:rFonts w:ascii="Times New Roman;serif" w:hAnsi="Times New Roman;serif"/>
          <w:b/>
          <w:i/>
          <w:sz w:val="20"/>
        </w:rPr>
      </w:pPr>
      <w:r>
        <w:rPr>
          <w:rFonts w:ascii="Times New Roman;serif" w:hAnsi="Times New Roman;serif"/>
          <w:b/>
          <w:i/>
          <w:sz w:val="20"/>
        </w:rPr>
        <w:t>Because we do not anticipate paying any cash dividends on our common stock in the foreseeable future, capital appreciation, if any, will be your sole source of gains and you may never receive a return on your investment.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pStyle w:val="TextBody"/>
        <w:spacing w:before="360" w:after="0"/>
        <w:jc w:val="left"/>
        <w:rPr>
          <w:rFonts w:ascii="Times New Roman;serif" w:hAnsi="Times New Roman;serif"/>
          <w:b/>
          <w:i/>
          <w:sz w:val="20"/>
        </w:rPr>
      </w:pPr>
      <w:r>
        <w:rPr>
          <w:rFonts w:ascii="Times New Roman;serif" w:hAnsi="Times New Roman;serif"/>
          <w:b/>
          <w:i/>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derivative action or proceeding brought on our behalf;</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action asserting a breach of fiduciary duty;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action asserting a claim against us arising under the Delaware General Corporation Law, our amended and restated certificate of incorporation, or our amended and restated bylaws;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claim or cause of action seeking to interpret, apply, enforce or determine the validity of our restated certificate or our amended and restated bylaws;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claim or cause of action as to which the Delaware General Corporation Law confers jurisdiction on the Court of Chancery of the state of Delaware;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action asserting a claim against us that is governed by the internal-affairs doctrine.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spacing w:before="240" w:after="0"/>
        <w:jc w:val="left"/>
        <w:rPr>
          <w:rFonts w:ascii="Times New Roman" w:hAnsi="Times New Roman"/>
          <w:sz w:val="20"/>
        </w:rPr>
      </w:pPr>
      <w:r>
        <w:rPr>
          <w:rFonts w:ascii="Times New Roman;serif" w:hAnsi="Times New Roman;serif"/>
          <w:b w:val="false"/>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r>
        <w:rPr>
          <w:rFonts w:ascii="Times New Roman" w:hAnsi="Times New Roman"/>
          <w:sz w:val="20"/>
        </w:rPr>
        <w:t xml:space="preserve"> </w:t>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General Risks</w:t>
      </w:r>
    </w:p>
    <w:p>
      <w:pPr>
        <w:pStyle w:val="TextBody"/>
        <w:spacing w:before="120" w:after="0"/>
        <w:jc w:val="left"/>
        <w:rPr>
          <w:rFonts w:ascii="Times New Roman;serif" w:hAnsi="Times New Roman;serif"/>
          <w:b/>
          <w:i/>
          <w:sz w:val="20"/>
        </w:rPr>
      </w:pPr>
      <w:r>
        <w:rPr>
          <w:rFonts w:ascii="Times New Roman;serif" w:hAnsi="Times New Roman;serif"/>
          <w:b/>
          <w:i/>
          <w:sz w:val="20"/>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and other adverse business impacts.</w:t>
      </w:r>
    </w:p>
    <w:p>
      <w:pPr>
        <w:pStyle w:val="TextBody"/>
        <w:spacing w:before="120" w:after="0"/>
        <w:jc w:val="left"/>
        <w:rPr>
          <w:rFonts w:ascii="Times New Roman" w:hAnsi="Times New Roman"/>
          <w:sz w:val="20"/>
        </w:rPr>
      </w:pPr>
      <w:r>
        <w:rPr>
          <w:rFonts w:ascii="Times New Roman;serif" w:hAnsi="Times New Roman;serif"/>
          <w:b w:val="false"/>
          <w:sz w:val="20"/>
        </w:rPr>
        <w:t>In the ordinary course of business, we collect, receive, store, process, use, generate, transfer, disclose, make accessible, protect, secure, dispose of, transmit, and share, or Process or Processing, personal data, sensitive information, and other information necessary to operate our business, for legal and marketing purposes, and for other business-related purposes, such as information we collect about patients and healthcare providers in connection with clinical trials in the U.S. and abroad, proprietary and confidential business data, trade secrets, and intellectual property.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data processing activities may subject us to numerous federal, state, local, and international laws, regulations, and guidance industry standards, external and internal privacy and security policies, contractual requirements, and other obligations relating to data privacy and security. The number and scope of which is changing, subject to differing applications and interpretations, and which may be inconsistent among jurisdictions, or in conflict with other rules, laws or Data Protection Obligations (as defined below).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United States, federal, state, and local governments have enacted numerous data privacy and security laws, including data breach notification laws, personal data privacy laws, and consumer protection laws. For example, the HIPAA, as amended by HITECH, imposes specific requirements relating to the privacy, security, and transmission of individually identifiable health information. Additionally, the California Consumer Privacy Act of 2018, or the CCPA, applies to personal data of consumers, business representatives, and employees, and requires businesses to provide specific disclosure in privacy notices and affording honor requests of California residents certain rights related to their personal data to exercise certain privacy rights. The CCPA allows for civil penalties for noncompliance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California Privacy Rights Act of 2020, or the CPRA, effective January 1, 2023, expands the CCPA by establishing a new California Privacy Protection Agency to implement and enforce the CCPA, and adding a new right for individuals to correct their personal data. Other states have enacted data privacy and security laws. For example, Virginia passed its Consumer Data Protection Act, and Colorado passed the Colorado Privacy Act, both of which share similarities with, but also differ from, the CPRA and are effective in 2023. While these states, like the CCPA, also exempt some data processed in the context of clinical trials, these developments further complicate compliance efforts, and increase legal risk and compliance costs for us and the third parties upon whom we rely.</w:t>
      </w:r>
    </w:p>
    <w:p>
      <w:pPr>
        <w:pStyle w:val="TextBody"/>
        <w:spacing w:before="240" w:after="0"/>
        <w:jc w:val="left"/>
        <w:rPr>
          <w:rFonts w:ascii="Times New Roman" w:hAnsi="Times New Roman"/>
          <w:sz w:val="20"/>
        </w:rPr>
      </w:pPr>
      <w:r>
        <w:rPr>
          <w:rFonts w:ascii="Times New Roman;serif" w:hAnsi="Times New Roman;serif"/>
          <w:b w:val="false"/>
          <w:sz w:val="20"/>
        </w:rPr>
        <w:t>Outside the United States, an increasing number of laws, regulations, and industry standards apply to data privacy and security. Our operations may be subject to increased scrutiny or attention from foreign data privacy and security authorities. Our clinical trial programs and research collaborations outside the United States may implicate foreign data privacy and security laws, including in Canada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and Europe. The European Union’s General Data Protection Regulation, or EU GDPR, the United Kingdom’s General Data Protection Regulation, or UK GDPR, and Canada’s Personal Information Protection and Electronic Documents Act, or PIPEDA, and various related provincial laws, as well as Canada’s Anti-Spam Legislation, or CASL, may apply to our operations. For example, the EU GDPR, and the UK GDPR, impose strict requirements for Processing the personal data of individuals located, respectively, within the European Economic Area, or the EEA, and the United Kingdom, or the UK. Under the EU GDPR, government regulators may impose temporary or definitive bans on data Processing, as well as fines up to 20 million euros or 4% of the annual global revenue, whichever is greater. Further, the law allows for private litigation related to Processing of personal data brought by classes of data subjects or consumer protection groups authorized by law to represent their interests. The UK GDPR allows for similar penalties.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Certain jurisdictions, including Europe, have enacted data localization laws and cross-border personal data transfers laws. For example, absent appropriate safeguards or other circumstances, the EU GDPR generally restricts the transfer of personal data to countries outside of the EEA, such as the United States, which the European Commission does not consider as providing an adequate level of personal data protection. The European Commission released a set of Standard Contractual Clauses that are designed to be a valid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The Standard Contractual Clauses, however, require parties that rely upon them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personal data transfers out of the EEA. In addition, laws in Switzerland and the UK similarly restrict personal data transfers outside of those jurisdictions to countries such as the U.S. that do not provide an adequate level of personal data protection. Other jurisdictions have enacted or are considering similar cross-border personal data transfer laws and local personal data residency laws, any of which could increase the cost and complexity of doing business. If we cannot implement a valid compliance mechanism for cross-border personal data transfers, we may face increased exposure to regulatory actions, substantial fines, and injunctions against Processing or transferring personal data from Europe or elsewhere. Inability to import personal data to the United States may significantly and negatively impact our business operations, including by limiting our ability to conduct clinical trial activities in Europe and elsewhere; limiting our ability to collaborate with parties subject to European and other data protection laws or requiring us to increase our personal data Processing capabilities in Europe and/or elsewhere at significant expense. Some European regulators have ordered certain companies to suspend or permanently cease certain transfers out of Europe for allegedly violating the EU GDPR’s cross-border data transfer limitations.</w:t>
      </w:r>
    </w:p>
    <w:p>
      <w:pPr>
        <w:pStyle w:val="TextBody"/>
        <w:spacing w:before="240" w:after="0"/>
        <w:jc w:val="left"/>
        <w:rPr>
          <w:rFonts w:ascii="Times New Roman" w:hAnsi="Times New Roman"/>
          <w:sz w:val="20"/>
        </w:rPr>
      </w:pPr>
      <w:r>
        <w:rPr>
          <w:rFonts w:ascii="Times New Roman;serif" w:hAnsi="Times New Roman;serif"/>
          <w:b w:val="false"/>
          <w:sz w:val="20"/>
        </w:rPr>
        <w:t>We are also subject to the terms of our privacy and security policies, representations, certifications, standards, publications and frameworks, and contractual obligations to third parties related to privacy, security and the Processing personal data, or Data Protection Obligations, including without limitation, operating rules and standards imposed by industry organizations. Data privacy and security issues worldwide are, and are likely to remain, uncertain for the foreseeable future. We strive to comply with applicable data privacy and security laws and Data Protection Obligations to the extent possible, but we may at times fail to do so, or may be perceived to have failed to do so. Moreover, despite our efforts, we may not be successful in achieving compliance if our personnel, partners or vendors do not comply with applicable data privacy and security laws and Data Protection Obligations.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fail, or are perceived to have failed, to address or comply with applicable data privacy and security laws and Data Protection Obligations, such failure or perceived failure could: increase our compliance and operational costs; expose us to regulatory scrutiny, actions, fines and penalties; result in reputational harm; interrupt or stop clinical trials; result in litigation and liability; result in an inability to Process personal data or to operate in certain jurisdictions; cause a material adverse impact to business operations or financial results; result in imprisonment of company officials; and otherwise result in other material harm to our business.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With applicable data privacy and security laws, and Data Protection Obligations imposing complex and burdensome obligations, and with substantial uncertainty over the interpretation and application of these requirements, we have faced and may face additional challenges in addressing and complying with them, and making necessary changes to our privacy policies and practices, and may incur material costs and expenses in an effort to do so, any of which could materially adversely affect our business operations and financial results, and may limit the adoption and use of, and reduce the overall demand for, our products, which could have an adverse impact on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If our, or our vendors’, information technology systems or data is or were compromised, we could experience adverse impacts resulting from such compromise, including, but not limited to interruptions to our operations such as our clinical trials, claims that we breached our data privacy and security obligations, harm to our reputation, and a loss of customers or sales.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ordinary course of our business, we, and the third parties upon which we rely, Process proprietary, confidential and sensitive information, including personal data (including health information), intellectual property, trade secrets, and proprietary business information owned or controlled by ourselves or other parties.</w:t>
      </w:r>
    </w:p>
    <w:p>
      <w:pPr>
        <w:pStyle w:val="TextBody"/>
        <w:spacing w:before="240" w:after="0"/>
        <w:jc w:val="left"/>
        <w:rPr>
          <w:rFonts w:ascii="Times New Roman" w:hAnsi="Times New Roman"/>
          <w:sz w:val="20"/>
        </w:rPr>
      </w:pPr>
      <w:r>
        <w:rPr>
          <w:rFonts w:ascii="Times New Roman;serif" w:hAnsi="Times New Roman;serif"/>
          <w:b w:val="false"/>
          <w:sz w:val="20"/>
        </w:rPr>
        <w:t>We may use third-party service providers and subprocessors to help us operate our business and engage in Processing on our behalf. We may also share sensitive information with our partners or other third parties in conjunction with our business. Our ability to monitor these third parties’ information security practices is limited, and these third parties may not have adequate information security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measures in place. If we, our service providers, partners or other relevant third parties have experienced, or in the future experience, any security incident(s) that result in any data loss, deletion or destruction, unauthorized access to, loss of, unauthorized acquisition or disclosure of, or inadvertent exposure or disclosure of, personal data or sensitive information, or compromise related to the security, confidentiality, integrity or availability of our information technology, software, services, communications or data (or those of our service providers, partners or other relevant third parties) (“collectively “Security Breach”), it may have a material adverse effect on our business, including without limitation, regulatory investigations or enforcement actions, litigation, indemnity obligations, negative publicity and financial loss. While we may be entitled to damages if our third-party service providers fail to satisfy their privacy or security-related obligations to us, any award may be insufficient to cover our damages, or we may be unable to recover such award. For example, the loss of clinical trial data from completed or ongoing or planned clinical trials could result in delays in our regulatory approval efforts and could require us to incur substantial cost to recover or reproduce such data. Security Breaches and attendant consequences may cause customers to stop using our products, deter new customers for using our products, and otherwise negatively impact our ability to grow and operate our business.</w:t>
      </w:r>
    </w:p>
    <w:p>
      <w:pPr>
        <w:pStyle w:val="TextBody"/>
        <w:spacing w:before="240" w:after="0"/>
        <w:jc w:val="left"/>
        <w:rPr>
          <w:rFonts w:ascii="Times New Roman" w:hAnsi="Times New Roman"/>
          <w:sz w:val="20"/>
        </w:rPr>
      </w:pPr>
      <w:r>
        <w:rPr>
          <w:rFonts w:ascii="Times New Roman;serif" w:hAnsi="Times New Roman;serif"/>
          <w:b w:val="false"/>
          <w:sz w:val="20"/>
        </w:rPr>
        <w:t>Cyberattacks, malicious internet-based activity and online and offline fraud and other similar activities are prevalent and continue to increase. These threats come from a variety of sources, including traditional computer “hackers,” threat actors, personnel misconduct or error (employee theft or misuse), sophisticated nation-state and nation-state supported actors, “hacktivists,” organized criminal threat actors, and personnel (such as through theft or misuse). We may be subject to a variety of evolving threats, including but not limited to social engineering attacks (including through phishing attacks), malicious code (such as viruses and worms), malware (including as a result of advanced persistent threat intrusions), denial-of-service attacks (such as credential stuffing), credential harvesting, ransomware attacks, supply-chain attacks, software bugs, server malfunction, software or hardware failures, loss of data or other information technology assets, adware, telecommunications failures, earthquakes, fire, flood, and other similar threats. Ransomware attacks, including those perpetrated by organized criminal threat actors, nation-states, and nation-state 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payments. Similarly, supply-chain attacks have increased in frequency and severity, and we cannot guarantee that third parties and infrastructure in our supply chain have not been compromised or that they do not contain exploitable defects or bugs that could result in a breach of or disruption to our information technology systems or the third-party information technology systems that support us and our services. Some actors now engage and are expected to continue to engage in cyber-attacks, including without limitation nation-state actors for geopolitical reasons and in conjunction with military conflicts and defense activities. During times of war and other major conflicts, we, the third-party service providers upon which we rely, and our customers may be vulnerable to a heightened risk of these attacks, including retaliatory cyber-attacks, that could materially disrupt our systems and operations, supply chain, and ability to produce, sell and distribute our goods and services. The COVID-19 pandemic and our remote workforce poses increased risks to our information technology systems and data, as more of our employees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Applicable data privacy and security laws and Data Protection Obligations may require us to implement specific security measures or use industry-standard or reasonable measures to protect against Security Breaches. While we have implemented security measures designed to protect against Security Breaches, there can be no assurance that our security measures or those of our service providers, partners and other third parties will be effective in protecting against all Security Breaches and material adverse impacts that may arise from such breaches. The recovery systems, security protocols, network protection mechanisms and other security measures that we (and our third parties) have integrated into our platform, systems, networks and physical facilities, which are designed to protect against, detect and minimize Security Breaches, may not be adequate to prevent or detect service interruption, system failure or data loss.</w:t>
      </w:r>
    </w:p>
    <w:p>
      <w:pPr>
        <w:pStyle w:val="TextBody"/>
        <w:spacing w:before="240" w:after="0"/>
        <w:jc w:val="left"/>
        <w:rPr>
          <w:rFonts w:ascii="Times New Roman" w:hAnsi="Times New Roman"/>
          <w:sz w:val="20"/>
        </w:rPr>
      </w:pPr>
      <w:r>
        <w:rPr>
          <w:rFonts w:ascii="Times New Roman;serif" w:hAnsi="Times New Roman;serif"/>
          <w:b w:val="false"/>
          <w:sz w:val="20"/>
        </w:rPr>
        <w:t>We have not always been able in the past</w:t>
      </w:r>
      <w:r>
        <w:rPr>
          <w:rFonts w:ascii="Times New Roman" w:hAnsi="Times New Roman"/>
          <w:sz w:val="20"/>
        </w:rPr>
        <w:t xml:space="preserve"> </w:t>
      </w:r>
      <w:r>
        <w:rPr>
          <w:rFonts w:ascii="Times New Roman;serif" w:hAnsi="Times New Roman;serif"/>
          <w:b w:val="false"/>
          <w:sz w:val="20"/>
        </w:rPr>
        <w:t>and may be unable in the future to detect, anticipate, measure or prevent threats or techniques used to detect or exploit vulnerabilities in our (or our third parties’) information technology, services, communications or software, or cause Security Breaches, because such threats and techniques change frequently, are often sophisticated in nature, and may not be detected until after an incident has occurred. In addition, security researchers and other individuals have in the past and will continue in the future to actively search for and exploit actual and potential vulnerabilities in our (or our third parties’) information technology and communications. While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We cannot be certain that we will be able to address any such vulnerabilities, in whole or part, and there may be delays in developing and deploying patches and other remedial measures to adequately address vulnerabilities.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Applicable data privacy and security laws and Data Protection Obligations may require us to notify relevant stakeholders of Security Breaches, including affected individuals, regulators and credit reporting agencies. Such disclosures are costly, and the disclosures or the failure to comply with such requirements, could lead to material adverse impacts, including without limitation, negative publicity, a loss of confidence in our security measures or breach of contract claims. There can be no assurance that the limitations of liability in our contracts would be enforceable or adequate or would otherwise protect us from liabilities or damages if we fail to comply with Applicable data privacy and security laws or Data Protection Obligations related to information security or Security Breaches.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not have adequate insurance coverage in the event of a Security Breach. We cannot assure that our existing coverage will be adequate or otherwise protect us from or adequately mitigate liabilities or damages with respect to claims, costs, expenses, litigation, fines, penalties, business loss, data loss, regulatory actions or material adverse impacts arising out of our privacy and security practices, Processing or Security Breaches we may experience, or that such coverage will continue to be available on acceptable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pStyle w:val="TextBody"/>
        <w:spacing w:before="240" w:after="0"/>
        <w:jc w:val="left"/>
        <w:rPr>
          <w:rFonts w:ascii="Times New Roman" w:hAnsi="Times New Roman"/>
          <w:sz w:val="20"/>
        </w:rPr>
      </w:pPr>
      <w:r>
        <w:rPr>
          <w:rFonts w:ascii="Times New Roman;serif" w:hAnsi="Times New Roman;serif"/>
          <w:b w:val="false"/>
          <w:sz w:val="20"/>
        </w:rPr>
        <w:t>If we fail, or are perceived to have failed, to address or comply with these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Our business activities will be subject to the Foreign Corrupt Practices Act, or FCPA, and similar anti-bribery and anti-corruption laws.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We may engage third parties to sell our products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There is no certainty that all of our employees, agents, suppliers, manufacturers, contractors, or collaborators, or those of our affiliates, will comply with all applicable laws and regulations, particularly given the high level of complexity of these laws. We can be held liable for the corrupt or other illegal activities of our employees, agents, contractors, and other collaborators, even if we do not explicitly authorize or have actual knowledge of such activities.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pStyle w:val="TextBody"/>
        <w:spacing w:before="360" w:after="0"/>
        <w:jc w:val="left"/>
        <w:rPr>
          <w:rFonts w:ascii="Times New Roman;serif" w:hAnsi="Times New Roman;serif"/>
          <w:b/>
          <w:i/>
          <w:sz w:val="20"/>
        </w:rPr>
      </w:pPr>
      <w:r>
        <w:rPr>
          <w:rFonts w:ascii="Times New Roman;serif" w:hAnsi="Times New Roman;serif"/>
          <w:b/>
          <w:i/>
          <w:sz w:val="20"/>
        </w:rPr>
        <w:t>We are subject to governmental export and import controls that could impair our ability to compete in international markets due to licensing requirements and subject us to liability if we are not in compliance with applicable laws. Compliance with these legal requirements could limit our ability to compete in foreign markets and subject us to liability if we violate them.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 candidates outside of the U.S.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spacing w:before="240" w:after="0"/>
        <w:jc w:val="left"/>
        <w:rPr>
          <w:rFonts w:ascii="Times New Roman" w:hAnsi="Times New Roman"/>
          <w:sz w:val="20"/>
        </w:rPr>
      </w:pPr>
      <w:r>
        <w:rPr>
          <w:rFonts w:ascii="Times New Roman;serif" w:hAnsi="Times New Roman;serif"/>
          <w:b w:val="false"/>
          <w:sz w:val="20"/>
        </w:rPr>
        <w:t>In addition, changes in our product candidates or changes in applicable export or import laws and regulations may create delays in the introduction, provision or sale of our product candidates in international markets, prevent customers from using our product candidates or, in some cases, prevent the export or import of our product candidates to certain countries, governments or persons altogether. Any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limitation on our ability to export, provide or sell our product candidates could adversely affect our business, financial condition and results of operations.</w:t>
      </w:r>
    </w:p>
    <w:p>
      <w:pPr>
        <w:pStyle w:val="TextBody"/>
        <w:spacing w:before="360" w:after="0"/>
        <w:jc w:val="left"/>
        <w:rPr>
          <w:rFonts w:ascii="Times New Roman;serif" w:hAnsi="Times New Roman;serif"/>
          <w:b/>
          <w:i/>
          <w:sz w:val="20"/>
        </w:rPr>
      </w:pPr>
      <w:r>
        <w:rPr>
          <w:rFonts w:ascii="Times New Roman;serif" w:hAnsi="Times New Roman;serif"/>
          <w:b/>
          <w:i/>
          <w:sz w:val="20"/>
        </w:rPr>
        <w:t>If we fail to maintain proper and effective internal controls, our ability to produce accurate financial statements on a timely basis could be impaired.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the reporting requirements of the Securities Exchange Act of 1934, the Sarbanes-Oxley Act of 2002, or the Sarbanes-Oxley Act, and the rules and regulations of The Nasdaq Stock Market. The Sarbanes-Oxley Act requires, among other things, that we maintain effective disclosure controls and procedures and internal control over financial reporting.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must perform system and process evaluation and testing of 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 Prior to the year ended December 31, 2021, we have never been required to test our internal controls within a specified period, and, as a result, we may experience difficulty in meeting these reporting requirements in a timely manner.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 or other regulatory authorities.</w:t>
      </w:r>
    </w:p>
    <w:p>
      <w:pPr>
        <w:pStyle w:val="TextBody"/>
        <w:spacing w:before="360" w:after="0"/>
        <w:jc w:val="left"/>
        <w:rPr>
          <w:rFonts w:ascii="Times New Roman;serif" w:hAnsi="Times New Roman;serif"/>
          <w:b/>
          <w:i/>
          <w:sz w:val="20"/>
        </w:rPr>
      </w:pPr>
      <w:r>
        <w:rPr>
          <w:rFonts w:ascii="Times New Roman;serif" w:hAnsi="Times New Roman;serif"/>
          <w:b/>
          <w:i/>
          <w:sz w:val="20"/>
        </w:rPr>
        <w:t>Our effective tax rate may fluctuate, and we may incur obligations in tax jurisdictions in excess of accrued amounts.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such jurisdiction.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existing tax laws. Any of these factors could cause us to experience an effective tax rate significantly different from previous periods or our current expectations and may result in tax obligations in excess of amounts accrued in our financial statements.</w:t>
      </w:r>
    </w:p>
    <w:p>
      <w:pPr>
        <w:pStyle w:val="TextBody"/>
        <w:spacing w:before="360" w:after="0"/>
        <w:jc w:val="left"/>
        <w:rPr>
          <w:rFonts w:ascii="Times New Roman;serif" w:hAnsi="Times New Roman;serif"/>
          <w:b/>
          <w:i/>
          <w:sz w:val="20"/>
        </w:rPr>
      </w:pPr>
      <w:r>
        <w:rPr>
          <w:rFonts w:ascii="Times New Roman;serif" w:hAnsi="Times New Roman;serif"/>
          <w:b/>
          <w:i/>
          <w:sz w:val="20"/>
        </w:rPr>
        <w:t>We might not be able to utilize a significant portion of our net operating loss carryforwards.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generated and expect to continue to generate significant federal and state net operating loss, or NOL, carryforwards in the future. As of December 31, 2022, there were federal and state NOLs of $216.3 million and $4.5 million respectively. These NOL carryforwards could expire unused and be unavailable to offset future income tax liabilities. Under the Tax Cuts and Jobs, or the Tax Act, as modified by the Coronavirus Aid, Relief, and Economic Security Act, or CARES Act, federal NOLs incurred in taxable years beginning after December 31, 2017 may be carried forward indefinitely, but the deductibility of such federal NOLs is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During 2022, we performed a detailed analysis of historical and current Section 382 ownership changes that may limit the utilization of NOL carryforwards. Except for approximately $2.9 million of NOLs arising prior to our initial public offering in September 2020, none of our NOLs are limited. However, sales of our common stock by our existing stockholders, or additional sales of our common stock by us, could trigger additional limitations under Section 382 and have a material adverse effect on our results of operations in future years.</w:t>
      </w:r>
    </w:p>
    <w:p>
      <w:pPr>
        <w:pStyle w:val="TextBody"/>
        <w:spacing w:before="0" w:after="0"/>
        <w:jc w:val="both"/>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New tax laws or regulations, changes to existing tax laws or regulations or changes in their application to us or our customers may have a material adverse effect on our business, cash flows, financial condition or results of operations.</w:t>
      </w:r>
    </w:p>
    <w:p>
      <w:pPr>
        <w:pStyle w:val="TextBody"/>
        <w:spacing w:before="120" w:after="0"/>
        <w:jc w:val="left"/>
        <w:rPr>
          <w:rFonts w:ascii="Times New Roman" w:hAnsi="Times New Roman"/>
          <w:sz w:val="20"/>
        </w:rPr>
      </w:pPr>
      <w:r>
        <w:rPr>
          <w:rFonts w:ascii="Times New Roman;serif" w:hAnsi="Times New Roman;serif"/>
          <w:b w:val="false"/>
          <w:sz w:val="20"/>
        </w:rPr>
        <w:t>New tax laws, statutes, rules, regulations, directives, decrees or ordinances could be enacted at any time. Further, existing tax laws, statutes, rules, regulations, directives, decrees or ordinances could be interpreted, changed or modified. Any such enactment, interpretation, change or modification could adversely affect us, possibly with retroactive effect. For example, the recently enacted Inflation Reduction Act imposes, among other rules, a 15% minimum tax on the book income of certain large corporations and a 1% excise tax 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certain corporate stock repurchases. In addition, for certain research and experimental, or R&amp;E, expenses incurred in tax years beginning after December 31, 2021, the Tax Act requires the capitalization and amortization of such expenses over five years if incurred in the United States and fifteen years if incurred outside the United States, rather than deducting such expenses currently. Although there have been legislative proposals to repeal or defer the capitalization requirement, there can be no assurance that such requirement will be repealed, deferred or otherwise modified. Changes in corporate tax rates, the realization of net deferred tax assets relating to our operations, the taxation of foreign earnings and the deductibility of expenses under the Tax Act, as amended by the CARES Act or any future tax reform legislation, could have a material impact on the value of our deferred tax assets, result in significant one-time charges and increase our future U.S. tax expense.</w:t>
      </w:r>
    </w:p>
    <w:p>
      <w:pPr>
        <w:pStyle w:val="TextBody"/>
        <w:spacing w:before="360" w:after="0"/>
        <w:jc w:val="left"/>
        <w:rPr>
          <w:rFonts w:ascii="Times New Roman;serif" w:hAnsi="Times New Roman;serif"/>
          <w:b/>
          <w:i/>
          <w:sz w:val="20"/>
        </w:rPr>
      </w:pPr>
      <w:r>
        <w:rPr>
          <w:rFonts w:ascii="Times New Roman;serif" w:hAnsi="Times New Roman;serif"/>
          <w:b/>
          <w:i/>
          <w:sz w:val="20"/>
        </w:rPr>
        <w:t>We have incurred and will continue to incur increased costs and demands upon management as a result of being a public company.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 public company listed in the United States, we have incurred and will continue to incur significant additional legal, accounting and other costs including the cost of director and officer liability insurance.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pStyle w:val="TextBody"/>
        <w:spacing w:before="360" w:after="0"/>
        <w:jc w:val="left"/>
        <w:rPr>
          <w:rFonts w:ascii="Times New Roman;serif" w:hAnsi="Times New Roman;serif"/>
          <w:b/>
          <w:sz w:val="20"/>
        </w:rPr>
      </w:pPr>
      <w:bookmarkStart w:id="5" w:name="item_1b_unresolved_staff_comments"/>
      <w:bookmarkEnd w:id="5"/>
      <w:r>
        <w:rPr>
          <w:rFonts w:ascii="Times New Roman;serif" w:hAnsi="Times New Roman;serif"/>
          <w:b/>
          <w:sz w:val="20"/>
        </w:rPr>
        <w:t>Item 1B. Unresolved Staff Comments.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6" w:name="item_2_properties"/>
      <w:bookmarkEnd w:id="6"/>
      <w:r>
        <w:rPr>
          <w:rFonts w:ascii="Times New Roman;serif" w:hAnsi="Times New Roman;serif"/>
          <w:b/>
          <w:sz w:val="20"/>
        </w:rPr>
        <w:t>Item 2. Properties.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January 2021, we entered into a lease agreement for 15,000 square feet of administrative space in Dallas, Texas, pursuant to a lease agreement that expires approximately ten years after the lease commenced in May 2021. This lease was amended in December 2021 to lease an additional 18,000 square feet of administrative space in Dallas, TX, pursuant to a lease amendment that expires approximately ten years after the lease commencement date. In December 2020, we entered into a lease agreement for approximately 187,500 square feet of a manufacturing facility in Durham, North Carolina, pursuant to a lease agreement that expires in September 2036. We have two options to extend the term of that lease, each for a period of an additional five years. In August 2021 we entered into a lease agreement for 9,400 square feet of laboratory space in Research Triangle Park, North Carolina, pursuant to a lease agreement that expires approximately four years after the lease commenced in September 2021. This lease was amended in December 2021 to rent approximately 3,600 square feet of additional laboratory space.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that our facilities are suitable and adequate to meet our needs. We intend to add new facilities or expand existing facilities as we add employees, and we believe that suitable additional or substitute space will be available as needed to accommodate any such expansion of our operations.</w:t>
      </w:r>
    </w:p>
    <w:p>
      <w:pPr>
        <w:pStyle w:val="TextBody"/>
        <w:spacing w:before="360" w:after="0"/>
        <w:jc w:val="left"/>
        <w:rPr>
          <w:rFonts w:ascii="Times New Roman" w:hAnsi="Times New Roman"/>
          <w:sz w:val="20"/>
        </w:rPr>
      </w:pPr>
      <w:bookmarkStart w:id="7" w:name="item_3_legal_proceedings"/>
      <w:bookmarkEnd w:id="7"/>
      <w:r>
        <w:rPr>
          <w:rFonts w:ascii="Times New Roman;serif" w:hAnsi="Times New Roman;serif"/>
          <w:b/>
          <w:sz w:val="20"/>
        </w:rPr>
        <w:t>Item 3. Legal</w:t>
      </w:r>
      <w:r>
        <w:rPr>
          <w:rFonts w:ascii="Times New Roman" w:hAnsi="Times New Roman"/>
          <w:sz w:val="20"/>
        </w:rPr>
        <w:t xml:space="preserve"> </w:t>
      </w:r>
      <w:r>
        <w:rPr>
          <w:rFonts w:ascii="Times New Roman;serif" w:hAnsi="Times New Roman;serif"/>
          <w:b/>
          <w:sz w:val="20"/>
        </w:rPr>
        <w:t>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not subject to any material legal proceedings. From time to time, we may be involved in various claims and legal proceedings relating to claims arising out of our operations. Although the results of litigation and claims cannot be predicted with certainty, as of the date of this Annual Report on Form 10-K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spacing w:before="360" w:after="0"/>
        <w:jc w:val="left"/>
        <w:rPr>
          <w:rFonts w:ascii="Times New Roman;serif" w:hAnsi="Times New Roman;serif"/>
          <w:b/>
          <w:sz w:val="20"/>
        </w:rPr>
      </w:pPr>
      <w:bookmarkStart w:id="8" w:name="item_4_mine_safety_disclosures"/>
      <w:bookmarkEnd w:id="8"/>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9" w:name="part_ii"/>
      <w:bookmarkEnd w:id="9"/>
      <w:r>
        <w:rPr>
          <w:rFonts w:ascii="Times New Roman;serif" w:hAnsi="Times New Roman;serif"/>
          <w:b/>
          <w:sz w:val="20"/>
        </w:rPr>
        <w:t>PART</w:t>
      </w:r>
      <w:r>
        <w:rPr>
          <w:rFonts w:ascii="Times New Roman" w:hAnsi="Times New Roman"/>
          <w:sz w:val="20"/>
        </w:rPr>
        <w:t xml:space="preserve"> </w:t>
      </w:r>
      <w:r>
        <w:rPr>
          <w:rFonts w:ascii="Times New Roman;serif" w:hAnsi="Times New Roman;serif"/>
          <w:b/>
          <w:sz w:val="20"/>
        </w:rPr>
        <w:t>II</w:t>
      </w:r>
    </w:p>
    <w:p>
      <w:pPr>
        <w:pStyle w:val="TextBody"/>
        <w:spacing w:before="240" w:after="0"/>
        <w:jc w:val="left"/>
        <w:rPr>
          <w:rFonts w:ascii="Times New Roman;serif" w:hAnsi="Times New Roman;serif"/>
          <w:b/>
          <w:sz w:val="20"/>
        </w:rPr>
      </w:pPr>
      <w:bookmarkStart w:id="10" w:name="item_5_market_for_registrants_common_equ"/>
      <w:bookmarkEnd w:id="10"/>
      <w:r>
        <w:rPr>
          <w:rFonts w:ascii="Times New Roman;serif" w:hAnsi="Times New Roman;serif"/>
          <w:b/>
          <w:sz w:val="20"/>
        </w:rPr>
        <w:t>Item 5. Market for Registrant’s Common Equity, Related Stockholder Matters and Issuer Purchases of Equity Securities.</w:t>
      </w:r>
    </w:p>
    <w:p>
      <w:pPr>
        <w:pStyle w:val="TextBody"/>
        <w:spacing w:before="120" w:after="0"/>
        <w:jc w:val="left"/>
        <w:rPr>
          <w:rFonts w:ascii="Times New Roman;serif" w:hAnsi="Times New Roman;serif"/>
          <w:b/>
          <w:sz w:val="20"/>
        </w:rPr>
      </w:pPr>
      <w:r>
        <w:rPr>
          <w:rFonts w:ascii="Times New Roman;serif" w:hAnsi="Times New Roman;serif"/>
          <w:b/>
          <w:sz w:val="20"/>
        </w:rPr>
        <w:t>Market Information for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common stock is listed on The Nasdaq Global Market under the symbol “TSHA.”</w:t>
      </w:r>
    </w:p>
    <w:p>
      <w:pPr>
        <w:pStyle w:val="TextBody"/>
        <w:spacing w:before="360" w:after="0"/>
        <w:jc w:val="left"/>
        <w:rPr>
          <w:rFonts w:ascii="Times New Roman;serif" w:hAnsi="Times New Roman;serif"/>
          <w:b/>
          <w:sz w:val="20"/>
        </w:rPr>
      </w:pPr>
      <w:r>
        <w:rPr>
          <w:rFonts w:ascii="Times New Roman;serif" w:hAnsi="Times New Roman;serif"/>
          <w:b/>
          <w:sz w:val="20"/>
        </w:rPr>
        <w:t>Holders of Record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15, 2023, we had 39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spacing w:before="360" w:after="0"/>
        <w:jc w:val="left"/>
        <w:rPr>
          <w:rFonts w:ascii="Times New Roman;serif" w:hAnsi="Times New Roman;serif"/>
          <w:b/>
          <w:sz w:val="20"/>
        </w:rPr>
      </w:pPr>
      <w:r>
        <w:rPr>
          <w:rFonts w:ascii="Times New Roman;serif" w:hAnsi="Times New Roman;serif"/>
          <w:b/>
          <w:sz w:val="20"/>
        </w:rPr>
        <w:t>Dividend Policy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never paid cash dividends on any of our capital stock and currently intend to retain our future earnings, if any, to fund the development and growth of our business.</w:t>
      </w:r>
    </w:p>
    <w:p>
      <w:pPr>
        <w:pStyle w:val="TextBody"/>
        <w:spacing w:before="360" w:after="0"/>
        <w:jc w:val="both"/>
        <w:rPr>
          <w:rFonts w:ascii="Times New Roman;serif" w:hAnsi="Times New Roman;serif"/>
          <w:b/>
          <w:sz w:val="20"/>
        </w:rPr>
      </w:pPr>
      <w:r>
        <w:rPr>
          <w:rFonts w:ascii="Times New Roman;serif" w:hAnsi="Times New Roman;serif"/>
          <w:b/>
          <w:sz w:val="20"/>
        </w:rPr>
        <w:t>Issuer Purchases of Equity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1" w:name="item_6"/>
      <w:bookmarkEnd w:id="11"/>
      <w:r>
        <w:rPr>
          <w:rFonts w:ascii="Times New Roman;serif" w:hAnsi="Times New Roman;serif"/>
          <w:b/>
          <w:sz w:val="20"/>
        </w:rPr>
        <w:t>Item 6. [Reserved].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2" w:name="item_7_managements_discussion_analysis_f"/>
      <w:bookmarkEnd w:id="12"/>
      <w:r>
        <w:rPr>
          <w:rFonts w:ascii="Times New Roman;serif" w:hAnsi="Times New Roman;serif"/>
          <w:b/>
          <w:sz w:val="20"/>
        </w:rPr>
        <w:t>Item 7. Management’s Discussion and Analysis of Financial Condition and Results of Operations.</w:t>
      </w:r>
      <w:r>
        <w:rPr>
          <w:rFonts w:ascii="Times New Roman" w:hAnsi="Times New Roman"/>
          <w:caps/>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in conjunction with our consolidated financial statements and related notes.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patient-centric gene therapy company focused on developing and commercializing AAV-based gene therapies for the treatment of monogenic diseases of the CNS. We were founded in partnership with The University of Texas Southwestern Medical Center, or UT Southwestern, to develop and commercialize transformative gene therapy treatments. Together with UT Southwestern, we possess a portfolio of gene therapy product candidates, with exclusive options to acquire several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In March 2022, we announced strategic pipeline prioritization initiatives focused on GAN and Rett syndrome, and we have subsequently further paused substantially all other research and development activities to increase operational efficiency.</w:t>
      </w:r>
    </w:p>
    <w:p>
      <w:pPr>
        <w:pStyle w:val="TextBody"/>
        <w:spacing w:before="240" w:after="0"/>
        <w:jc w:val="left"/>
        <w:rPr>
          <w:rFonts w:ascii="Times New Roman" w:hAnsi="Times New Roman"/>
          <w:sz w:val="20"/>
        </w:rPr>
      </w:pPr>
      <w:r>
        <w:rPr>
          <w:rFonts w:ascii="Times New Roman;serif" w:hAnsi="Times New Roman;serif"/>
          <w:b w:val="false"/>
          <w:sz w:val="20"/>
        </w:rPr>
        <w:t>In April 2021, we acquired exclusive worldwide rights to TSHA-120, a clinical-stage, intrathecally dosed AAV9 gene therapy program for the treatment of giant axonal neuropathy, or GAN. A Phase 1/2 clinical trial of TSHA-120 is being conducted by the National Institutes of Health, or NIH, under an accepted investigational new drug application, or IND. We reported clinical safety and functional MFM32 data from this trial for the highest dose cohort of 3.5x10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(by dot blot) and 1.0x10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(ddPCR) in January 2022, where we saw continued clinically meaningful slowing of disease progression similar to that achieved with the lower dose cohorts, which we considered confirmatory of disease modification. We recently completed a commercially representative GMP batch of TSHA-120 which demonstrated that the pivotal lots from the commercial grade material were generally analytically comparable to the original clinical trial material. Release testing for this batch was completed in the fourth quarter of 2022. In September 2022, we submitted a meeting request to the FDA and were granted a Type B end-of-Phase 2 meeting via teleconference on December 13, 2022. In January 2023, we reported feedback from the Type B end-of-Phase 2 meeting with the FDA following receipt of the formal meeting minutes. The FDA provided additional clarity for TSHA-120 for the treatment of GAN where MFM32 was acknowledged as an acceptable endpoint with a recommendation to dose additional patients in a double-blind, placebo-controlled design to support a Biologics License Application, or BLA. The FDA acknowledged that our overall approach to manufacturing of commercial material was appropriate pending review of a planned Chemistry, Manufacturing and Controls, or CMC, data package for TSHA-120. Subsequently, we submitted follow up questions in response to the formal meeting minutes. The FDA clarified MFM as a relevant primary endpoint in the setting of a randomized, double-blind, placebo controlled trial and acknowledged Taysha's challenge in designing such study due to the ultra-rare nature of GAN. The FDA was open to acceptance of more uncertainty due to difficulty in enrolling a sufficient number of patients and regulatory flexibility in a controlled trial setting. In addition, the FDA indicated it was willing to consider alternative study designs utilizing objective measurements to demonstrate a relatively large treatment effect that is self-evident and clinically meaningful. The FDA acknowledged that the size of the safety database will be a review issue and acceptance of the existing safety data from treated patients will depend on demonstration of product comparability. We have completed the CMC module 3 amendment submission detailing drug comparability data and are awaiting FDA feedback.</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evaluating TSHA-102 in the REVEAL Phase ½ clinical trial, which is an open-label, dose escalation, randomized, multicenter study that is examining the safety and efficacy of TSHA-102 in adult female patients with Rett syndrome. We expect to dose the first adult patient with Rett syndrome in the first half of 2023 and to report initial available clinical data in the first half of 2023, with planned quarterly updates on available clinical data primarily on safety from the adult study thereafter. We anticipate submission of a CTA to the MHRA for TSHA-102 in pediatric patients with Rett syndrome in mid-2023. We plan to submit an IND application for Rett syndrome to FDA in the second half of 2023.</w:t>
      </w:r>
    </w:p>
    <w:p>
      <w:pPr>
        <w:pStyle w:val="TextBody"/>
        <w:spacing w:before="240" w:after="0"/>
        <w:jc w:val="left"/>
        <w:rPr>
          <w:rFonts w:ascii="Times New Roman" w:hAnsi="Times New Roman"/>
          <w:sz w:val="20"/>
        </w:rPr>
      </w:pPr>
      <w:r>
        <w:rPr>
          <w:rFonts w:ascii="Times New Roman;serif" w:hAnsi="Times New Roman;serif"/>
          <w:b w:val="false"/>
          <w:sz w:val="20"/>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Both of our lead product candidates are still in the clinical stage. We do not have any product candidates approved for sale and have not generated any revenue from product sales. We have funded our operations primarily through: (i) the sale of equity, raising an aggregate of $438.5 million of gross proceeds from our IPO, sales of common stock pursuant to our Sales Agreement and our October 2022 Follow-on Offering: (ii) pre-IPO private placements of our convertible preferred stock; (iii) our Term Loan Agreement (as defined below); and (iv) the Astellas Transactions.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Lenders, or, collectively, the Term Loans. We drew $30.0 million in term loans on the Closing Date and drew an additional $10.0 million term loan on December 29, 2021. We did not draw the additional $20.0 million tranche prior to its expiration on September 30, 2022.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pStyle w:val="TextBody"/>
        <w:spacing w:before="240" w:after="0"/>
        <w:jc w:val="left"/>
        <w:rPr>
          <w:rFonts w:ascii="Times New Roman" w:hAnsi="Times New Roman"/>
          <w:sz w:val="20"/>
        </w:rPr>
      </w:pPr>
      <w:r>
        <w:rPr>
          <w:rFonts w:ascii="Times New Roman;serif" w:hAnsi="Times New Roman;serif"/>
          <w:b w:val="false"/>
          <w:sz w:val="20"/>
        </w:rPr>
        <w:t>Since our inception, we have incurred significant operating losses. Our net losses were $166.0 million for the year ended December 31, 2022 and $174.5 million for the year ended December 31, 2021. As of December 31, 2022, we had an accumulated deficit of $401.4 million. We expect to continue to incur significant expenses and operating losses for the foreseeable future. We anticipate that our expenses will increase significantly in connection with our ongoing activities, as we: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continue to advance the preclinical and clinical development of our product candidates and preclinical and discovery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conduct our ongoing clinical trials of TSHA-102, TSHA-120 and any other current and future product candidates that we advance;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seek regulatory approval for any product candidates that successfully complete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continue to develop our gene therapy product candidate pipeline and next-generation platforms;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scale up our clinical and regulatory capabilities;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work with CMOs for the manufacture current Good Manufacturing Practice, or cGMP material for clinical trials or potential commercial sales;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establish a commercialization infrastructure and scale up internal and external manufacturing and distribution capabilities to commercialize any product candidates for which we may obtain regulatory approval;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adapt our regulatory compliance efforts to incorporate requirements applicable to marketed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maintain, expand and protect our intellectual property portfolio;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hire additional clinical, manufacturing quality control, regulatory, manufacturing and scientific and administrative personnel;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add operational, financial and management information systems and personnel, including personnel to support our product development and planned future commercialization efforts;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incur additional legal, accounting and other expenses in operating as a public company. </w:t>
      </w:r>
    </w:p>
    <w:p>
      <w:pPr>
        <w:pStyle w:val="TextBody"/>
        <w:spacing w:before="360" w:after="0"/>
        <w:jc w:val="left"/>
        <w:rPr>
          <w:rFonts w:ascii="Times New Roman;serif" w:hAnsi="Times New Roman;serif"/>
          <w:b/>
          <w:sz w:val="20"/>
        </w:rPr>
      </w:pPr>
      <w:r>
        <w:rPr>
          <w:rFonts w:ascii="Times New Roman;serif" w:hAnsi="Times New Roman;serif"/>
          <w:b/>
          <w:sz w:val="20"/>
        </w:rPr>
        <w:t>License Agreements</w:t>
      </w:r>
    </w:p>
    <w:p>
      <w:pPr>
        <w:pStyle w:val="TextBody"/>
        <w:spacing w:before="120" w:after="0"/>
        <w:jc w:val="left"/>
        <w:rPr>
          <w:rFonts w:ascii="Times New Roman" w:hAnsi="Times New Roman"/>
          <w:sz w:val="20"/>
        </w:rPr>
      </w:pPr>
      <w:r>
        <w:rPr>
          <w:rFonts w:ascii="Times New Roman;serif" w:hAnsi="Times New Roman;serif"/>
          <w:b/>
          <w:i/>
          <w:sz w:val="20"/>
        </w:rPr>
        <w:t>Research, Collaboration and License Agreement with The University of Texas Southwestern Medical Center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November 2019, we entered into the UT Southwestern Agreement with The Board of Regents of the University of Texas System on behalf of UT Southwestern, as amended in April 2020.</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License Agreement with Abeona (CLN1 Disease)</w:t>
      </w:r>
    </w:p>
    <w:p>
      <w:pPr>
        <w:pStyle w:val="TextBody"/>
        <w:spacing w:before="120" w:after="0"/>
        <w:jc w:val="left"/>
        <w:rPr>
          <w:rFonts w:ascii="Times New Roman" w:hAnsi="Times New Roman"/>
          <w:sz w:val="20"/>
        </w:rPr>
      </w:pPr>
      <w:r>
        <w:rPr>
          <w:rFonts w:ascii="Times New Roman;serif" w:hAnsi="Times New Roman;serif"/>
          <w:b w:val="false"/>
          <w:sz w:val="20"/>
        </w:rPr>
        <w:t>In August 2020, we entered into the Abeona CLN1 Agreement with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 In December 2021 a regulatory milestone was triggered in connection with this agreement and therefore we recorded $3.0 million within research and development expenses in the consolidated statements of operations for the year ended December 31, 2021. The milestone fee was paid in January 2022 and has been classified as an investing outflow in the consolidated statements of cash flows for the year ended December 31, 2022.</w:t>
      </w:r>
    </w:p>
    <w:p>
      <w:pPr>
        <w:pStyle w:val="TextBody"/>
        <w:spacing w:before="240" w:after="0"/>
        <w:jc w:val="left"/>
        <w:rPr>
          <w:rFonts w:ascii="Times New Roman" w:hAnsi="Times New Roman"/>
          <w:sz w:val="20"/>
        </w:rPr>
      </w:pPr>
      <w:r>
        <w:rPr>
          <w:rFonts w:ascii="Times New Roman;serif" w:hAnsi="Times New Roman;serif"/>
          <w:b w:val="false"/>
          <w:sz w:val="20"/>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License Agreement with Abeona (Rett Syndrome)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October 2020, we entered into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Subject to certain obligations of Abeona, we are required to use commercially reasonable efforts to develop at least one licensed product and commercialize at least one licensed product in the United States.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March 2022, our CTA filing for TSHA-102 for the treatment of Rett Syndrome was approved by Health Canada and therefore triggered a regulatory milestone payment in connection with the Rett Agreement. We recorded a $1.0 million charge within research and development expenses in the consolidated statements of operations for the year ended December 31, 2022. This milestone fee was paid in July 2022 and has been classified as an investing outflow in the consolidated statements of cash flows for the year ended December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Option Agreement with Astellas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the Effective Date we entered into the Option Agreement with Astellas.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TSHA-120 Giant Axonal Neuropathy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Option Agreement, we granted to Astellas the GAN Option. Subject to certain extensions, the GAN Option is exercisable from the Effective Date through a specified period of time following Astellas’ receipt of (i) the formal minutes from the 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TSHA-102 Rett Syndrome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Option Agreement, we also granted to Astellas the Rett Option. Subject to certain extensions, the Rett Option is exercisable for the Rett Option Period related to the Rett Product.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83</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pStyle w:val="TextBody"/>
        <w:spacing w:before="12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Going Concern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inception, we have incurred operating losses and expects to continue to incur significant operating losses for the foreseeable future and may never become profitable. Losses are expected to continue as we continue to invest in our research and development activities. We believe there is presently insufficient funding available to allow us to fund our currently planned research and discovery programs for a period exceeding one year from the date of this filing with the SEC. These conditions and events raise substantial doubt about the Company’s ability to continue as a going concern.</w:t>
      </w:r>
    </w:p>
    <w:p>
      <w:pPr>
        <w:pStyle w:val="TextBody"/>
        <w:spacing w:before="360" w:after="0"/>
        <w:jc w:val="left"/>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Revenue in 2022 was derived from the Astellas Transactions. We recognize revenue as research and development activities related to our Rett program are performed and will recognize revenue related to the Rett and GAN Options at a point in time when the options are exercised or the option period expires.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employee-related expenses, including salaries, bonuses, benefits, stock-based compensation, other related costs for those employees involved in research and development efforts;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license maintenance fees and milestone fees incurred in connection with various license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external research and development expenses incurred under agreements with consultants, contract research organizations, or CROs, investigative sites and consultants to conduct our preclinical studies;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related to manufacturing material for our preclinical studies and clinical trials, including fees paid to contract manufacturing organizations, or CMOs;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laboratory supplies and research materials;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related to compliance with regulatory requirements;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facilities, depreciation and other allocated expenses, which include direct and allocated expenses for rent, maintenance of facilities, insurance and equipment. </w:t>
      </w:r>
    </w:p>
    <w:p>
      <w:pPr>
        <w:pStyle w:val="TextBody"/>
        <w:spacing w:before="240" w:after="0"/>
        <w:jc w:val="left"/>
        <w:rPr>
          <w:rFonts w:ascii="Times New Roman" w:hAnsi="Times New Roman"/>
          <w:sz w:val="20"/>
        </w:rPr>
      </w:pPr>
      <w:r>
        <w:rPr>
          <w:rFonts w:ascii="Times New Roman;serif" w:hAnsi="Times New Roman;serif"/>
          <w:b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reduced our research and development and general and administrative spend from 2021 to 2022 but</w:t>
      </w:r>
      <w:r>
        <w:rPr>
          <w:rFonts w:ascii="Times New Roman" w:hAnsi="Times New Roman"/>
          <w:sz w:val="20"/>
        </w:rPr>
        <w:t xml:space="preserve"> </w:t>
      </w:r>
      <w:r>
        <w:rPr>
          <w:rFonts w:ascii="Times New Roman;serif" w:hAnsi="Times New Roman;serif"/>
          <w:b w:val="false"/>
          <w:sz w:val="20"/>
        </w:rPr>
        <w:t>plan to invest our research and development expenses, particularly</w:t>
      </w:r>
      <w:r>
        <w:rPr>
          <w:rFonts w:ascii="Times New Roman" w:hAnsi="Times New Roman"/>
          <w:sz w:val="20"/>
        </w:rPr>
        <w:t xml:space="preserve"> </w:t>
      </w:r>
      <w:r>
        <w:rPr>
          <w:rFonts w:ascii="Times New Roman;serif" w:hAnsi="Times New Roman;serif"/>
          <w:b w:val="false"/>
          <w:sz w:val="20"/>
        </w:rPr>
        <w:t>with respect to the Rett clinical trials,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additional capital in the future. Our clinical development costs are expected to increase significantly as we commence clinical trials. Our future expenses may vary significantly each period based on factors such as:</w:t>
      </w:r>
      <w:r>
        <w:rPr>
          <w:rFonts w:ascii="Times New Roman" w:hAnsi="Times New Roman"/>
          <w:sz w:val="20"/>
        </w:rPr>
        <w:t xml:space="preserve"> </w:t>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expenses incurred to conduct preclinical studies required to advance our product candidates into clinical development;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per patient trial costs, including based on the number of doses that patients received;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of patients who enroll in each trial;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of trials required for approval;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of sites included in the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countries in which the trials are conducted;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length of time required to enroll eligible patients;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drop-out or discontinuation rates of patients;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potential additional safety monitoring requested by regulatory agencies;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duration of patient participation in the trials and follow-up;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phase of development of the product candidate;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third-party contractors failing to comply with regulatory requirements or meet their contractual obligations to us in a timely manner, or at all;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to manufacture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regulators or institutional review boards, or IRBs requiring that we or our investigators suspend or terminate clinical development for various reasons, including noncompliance with regulatory requirements or a finding that the participants are being exposed to unacceptable health risks;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efficacy and safety profile of our product candidates. </w:t>
      </w:r>
    </w:p>
    <w:p>
      <w:pPr>
        <w:pStyle w:val="TextBody"/>
        <w:spacing w:before="240" w:after="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anticipate that certain of our general and administrative expenses will decrease in the future as a result of the reductions in our headcount in 2022 and 2023 to support our infrastructure and focused on a more prioritized set of programs in Rett and GAN. We also anticipate that our general and administrative expenses will continue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Impairment of Long-lived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Impairment of long-lived assets are the result of an asset group's carrying value exceeding the fair value. In November 2022, we decided not to continue building out our manufacturing facility in North Carolina. We recorded a non-cash, non-recurring impairment charge related to the construction in progress and right-of-use lease assets at the manufacturing facility.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85</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Results of Operations for the Year Ended December 31, 2022 and 2021</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our results of operations for the years ended December 31, 2022 and 2021 (in thousands):</w:t>
      </w:r>
      <w:r>
        <w:rPr>
          <w:rFonts w:ascii="Times New Roman" w:hAnsi="Times New Roman"/>
          <w:sz w:val="20"/>
        </w:rPr>
        <w:t xml:space="preserve"> </w:t>
      </w:r>
    </w:p>
    <w:p>
      <w:pPr>
        <w:pStyle w:val="TextBody"/>
        <w:spacing w:before="0" w:after="0"/>
        <w:jc w:val="left"/>
        <w:rPr/>
      </w:pPr>
      <w:r>
        <w:rPr/>
        <w:t> </w:t>
      </w:r>
    </w:p>
    <w:tbl>
      <w:tblPr>
        <w:tblW w:w="5644" w:type="dxa"/>
        <w:jc w:val="left"/>
        <w:tblInd w:w="0" w:type="dxa"/>
        <w:tblCellMar>
          <w:top w:w="28" w:type="dxa"/>
          <w:left w:w="28" w:type="dxa"/>
          <w:bottom w:w="28" w:type="dxa"/>
          <w:right w:w="28" w:type="dxa"/>
        </w:tblCellMar>
      </w:tblPr>
      <w:tblGrid>
        <w:gridCol w:w="2671"/>
        <w:gridCol w:w="146"/>
        <w:gridCol w:w="211"/>
        <w:gridCol w:w="841"/>
        <w:gridCol w:w="166"/>
        <w:gridCol w:w="146"/>
        <w:gridCol w:w="211"/>
        <w:gridCol w:w="841"/>
        <w:gridCol w:w="411"/>
      </w:tblGrid>
      <w:tr>
        <w:trPr/>
        <w:tc>
          <w:tcPr>
            <w:tcW w:w="2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w:t>
              <w:br/>
              <w:t>Ended December 31,</w:t>
            </w:r>
          </w:p>
        </w:tc>
        <w:tc>
          <w:tcPr>
            <w:tcW w:w="411" w:type="dxa"/>
            <w:tcBorders/>
            <w:shd w:fill="auto" w:val="clear"/>
            <w:vAlign w:val="center"/>
          </w:tcPr>
          <w:p>
            <w:pPr>
              <w:pStyle w:val="TableContents"/>
              <w:spacing w:before="0" w:after="0"/>
              <w:ind w:left="0" w:right="0" w:hanging="0"/>
              <w:jc w:val="center"/>
              <w:rPr/>
            </w:pPr>
            <w:r>
              <w:rPr/>
              <w:t> </w:t>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firstLine="200"/>
              <w:jc w:val="center"/>
              <w:rPr/>
            </w:pPr>
            <w:r>
              <w:rPr/>
              <w:t> </w:t>
            </w:r>
          </w:p>
        </w:tc>
      </w:tr>
      <w:tr>
        <w:trPr/>
        <w:tc>
          <w:tcPr>
            <w:tcW w:w="26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91,169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131,943</w:t>
            </w:r>
          </w:p>
        </w:tc>
        <w:tc>
          <w:tcPr>
            <w:tcW w:w="411" w:type="dxa"/>
            <w:tcBorders/>
            <w:shd w:fill="auto" w:val="clear"/>
            <w:vAlign w:val="center"/>
          </w:tcPr>
          <w:p>
            <w:pPr>
              <w:pStyle w:val="TableContents"/>
              <w:spacing w:before="0" w:after="0"/>
              <w:ind w:left="0" w:right="0" w:firstLine="200"/>
              <w:jc w:val="left"/>
              <w:rPr/>
            </w:pPr>
            <w:r>
              <w:rPr/>
              <w:t> </w:t>
            </w:r>
          </w:p>
        </w:tc>
      </w:tr>
      <w:tr>
        <w:trPr/>
        <w:tc>
          <w:tcPr>
            <w:tcW w:w="26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41,324</w:t>
            </w:r>
          </w:p>
        </w:tc>
        <w:tc>
          <w:tcPr>
            <w:tcW w:w="411" w:type="dxa"/>
            <w:tcBorders/>
            <w:shd w:fill="auto" w:val="clear"/>
            <w:vAlign w:val="center"/>
          </w:tcPr>
          <w:p>
            <w:pPr>
              <w:pStyle w:val="TableContents"/>
              <w:spacing w:before="0" w:after="0"/>
              <w:ind w:left="0" w:right="0" w:firstLine="200"/>
              <w:jc w:val="left"/>
              <w:rPr/>
            </w:pPr>
            <w:r>
              <w:rPr/>
              <w:t> </w:t>
            </w:r>
          </w:p>
        </w:tc>
      </w:tr>
      <w:tr>
        <w:trPr/>
        <w:tc>
          <w:tcPr>
            <w:tcW w:w="26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of long-lived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6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164,949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173,267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(162,447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(173,267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26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411" w:type="dxa"/>
            <w:tcBorders/>
            <w:shd w:fill="auto" w:val="clear"/>
            <w:vAlign w:val="center"/>
          </w:tcPr>
          <w:p>
            <w:pPr>
              <w:pStyle w:val="TableContents"/>
              <w:spacing w:before="0" w:after="0"/>
              <w:ind w:left="0" w:right="0" w:firstLine="200"/>
              <w:jc w:val="left"/>
              <w:rPr/>
            </w:pPr>
            <w:r>
              <w:rPr/>
              <w:t> </w:t>
            </w:r>
          </w:p>
        </w:tc>
      </w:tr>
      <w:tr>
        <w:trPr/>
        <w:tc>
          <w:tcPr>
            <w:tcW w:w="26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(1,428</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6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(166,014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(174,523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Revenue related to the Astellas Transactions was $2.5 million for the year ended December 31, 2022. The revenue recorded is the result of Rett research and development activities performed during November and December 2022.</w:t>
      </w:r>
    </w:p>
    <w:p>
      <w:pPr>
        <w:pStyle w:val="TextBody"/>
        <w:spacing w:before="24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were $91.2 million for the year ended December 31, 2022, compared to $131.9 million for the year ended December 31, 2021. The $40.7 million decrease was primarily attributable to a decrease of $20.3 million in research and development manufacturing and other raw material purchases and a $9.0 million decrease in license fees. The decrease in research and development expenses for the year ended December 31, 2022 was also attributable to a $12.0 million decrease in third-party research and development fees, mainly related to non-clinical studies and toxicology studies and a $4.7 million decrease in compensation expense as a result of lower headcount. Overall, lower research and development expenses for the year ended December 31, 2022 were partially offset by higher clinical trial expenses of $2.4 million and higher severance expense of $2.9 million in the year ended December 31, 2022.</w:t>
      </w:r>
    </w:p>
    <w:p>
      <w:pPr>
        <w:pStyle w:val="TextBody"/>
        <w:spacing w:before="240" w:after="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$37.4 million for the year ended December 31, 2022, compared to $41.3 million for the year ended December 31, 2021. The decrease of approximately $3.9 million was primarily attributable to $5.0 million of lower consulting and professional fees and lower compensation expenses driven by lower headcount in 2022. Lower general and administrative expenses were partially offset by $1.1 million of severance expense in the year ended December 31, 2022.</w:t>
      </w:r>
    </w:p>
    <w:p>
      <w:pPr>
        <w:pStyle w:val="TextBody"/>
        <w:spacing w:before="240" w:after="0"/>
        <w:jc w:val="left"/>
        <w:rPr>
          <w:rFonts w:ascii="Times New Roman;serif" w:hAnsi="Times New Roman;serif"/>
          <w:b/>
          <w:i/>
          <w:sz w:val="20"/>
        </w:rPr>
      </w:pPr>
      <w:r>
        <w:rPr>
          <w:rFonts w:ascii="Times New Roman;serif" w:hAnsi="Times New Roman;serif"/>
          <w:b/>
          <w:i/>
          <w:sz w:val="20"/>
        </w:rPr>
        <w:t>Impairment of Long-lived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December 2022, we recorded a non-cash, non-recurring impairment charge of $36.4 million related to our manufacturing facility which will be marketed for sale or sub-lease.</w:t>
      </w:r>
    </w:p>
    <w:p>
      <w:pPr>
        <w:pStyle w:val="TextBody"/>
        <w:spacing w:before="240" w:after="0"/>
        <w:jc w:val="left"/>
        <w:rPr>
          <w:rFonts w:ascii="Times New Roman" w:hAnsi="Times New Roman"/>
          <w:sz w:val="20"/>
        </w:rPr>
      </w:pPr>
      <w:r>
        <w:rPr>
          <w:rFonts w:ascii="Times New Roman;serif" w:hAnsi="Times New Roman;serif"/>
          <w:b/>
          <w:i/>
          <w:sz w:val="20"/>
        </w:rPr>
        <w:t>Other Expense</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Interest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expense for the years ended December 31, 2022 and 2021 primarily consisted of interest expense incurred under the Term Loan Agreement.</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Interest Income</w:t>
      </w:r>
    </w:p>
    <w:p>
      <w:pPr>
        <w:pStyle w:val="TextBody"/>
        <w:spacing w:before="120" w:after="0"/>
        <w:jc w:val="left"/>
        <w:rPr>
          <w:rFonts w:ascii="Times New Roman" w:hAnsi="Times New Roman"/>
          <w:sz w:val="20"/>
        </w:rPr>
      </w:pPr>
      <w:r>
        <w:rPr>
          <w:rFonts w:ascii="Times New Roman;serif" w:hAnsi="Times New Roman;serif"/>
          <w:b w:val="false"/>
          <w:sz w:val="20"/>
        </w:rPr>
        <w:t>Interest income for the years ended December 31, 2022 and 2021 primarily consisted of interest earned on our savings account.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0"/>
        <w:jc w:val="left"/>
        <w:rPr>
          <w:rFonts w:ascii="Times New Roman" w:hAnsi="Times New Roman"/>
          <w:sz w:val="20"/>
        </w:rPr>
      </w:pPr>
      <w:r>
        <w:rPr>
          <w:rFonts w:ascii="Times New Roman;serif" w:hAnsi="Times New Roman;serif"/>
          <w:b/>
          <w:i/>
          <w:sz w:val="20"/>
        </w:rPr>
        <w:t>Overview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Since our inception, we have not generated any revenue from product sales and have incurred significant operating losses. As of December 31, 2022, we had cash and cash equivalents of $87.9 million. We have funded our operations primarily through equity financings, raising an aggregate of $438.5 million in gross proceeds from equity financings, including from our IPO, the sale of common stock pursuant to the Sales Agreement, our October 2022 Follow-on Offering, pre-IPO private placements of common stock and convertible preferred stock, from our loan agreement with Silicon Valley Bank and from the Astellas Transactions.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 In September 2020, we raised gross proceeds of $181.0 million in our initial public offering.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an additional $10.0 million in term loans on December 29, 2021. We did not draw on the additional $20.0 million tranche prior to its expiration on September 30, 2022.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December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Also on October 21, 2022, we entered into the Securities Purchase Agreement with Astellas, pursuant to which we agreed to issue and sell to Astellas in a private placement, or the Private Placement, an aggregate of 7,266,342 shares of our common stock, or the Private Placement Shares, for aggregate proceeds of approximately $30.0 million. The Private Placement closed on October 24, 2022. Pursuant to the Securities Purchase Agreement, in connection with the Private Placement, Astellas has the right to designate one individual to attend all meetings of the Board in a non-voting observer capacity. We also granted Astellas certain registration rights with respect to the Private Placement Shares.</w:t>
      </w:r>
    </w:p>
    <w:p>
      <w:pPr>
        <w:pStyle w:val="TextBody"/>
        <w:spacing w:before="240" w:after="0"/>
        <w:jc w:val="left"/>
        <w:rPr>
          <w:rFonts w:ascii="Times New Roman" w:hAnsi="Times New Roman"/>
          <w:sz w:val="20"/>
        </w:rPr>
      </w:pPr>
      <w:r>
        <w:rPr>
          <w:rFonts w:ascii="Times New Roman;serif" w:hAnsi="Times New Roman;serif"/>
          <w:b w:val="false"/>
          <w:sz w:val="20"/>
        </w:rPr>
        <w:t>On October 26, 2022, we entered into the Underwriting Agreement, to issue and sell 14,000,000 shares of our common stock, par value $0.00001 per share, in an underwritten public offering pursuant to effective registration statement on Form S-3 and a related prospectus and prospectus supplement. The offering price to the public was $2.00 per share and the Underwriter purchased the shares from us pursuant to the Underwriting Agreement at a price of $1.88 per share. In addition, we granted the Underwriter an option to purchase, for a period of 30 days, up to an additional 2,100,000 shares of our common stock. The Follow-on Offering closed on October 31, 2022 and we received net proceeds of $26.0 million after deducting underwriting discounts, commissions and offering expenses. On November 10, 2022, the Underwriter exercised their option to purchase an additional 765,226 shares of our common stock and we received net proceeds of $1.4 million after deducting underwriting discounts and commissions.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Funding Requirements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approval of, and commercialize, our product candidates. Our expenses decreased from 2021 to 2022 as a result of our program prioritization efforts and reduced headcount. We anticipate further reductions in spending in 2023 compared to 2022 levels due to the strategic pipeline prioritization initiatives focused on developing Rett and GAN.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December 31, 2022, our material cash requirements consisted of $35.3 million in total lease payments under our noncancelable leases for equipment, laboratory space and office space. These leases are described in further detail in Note 4 to our audited consolidated financial statements located in Part IV, Item 15 of this Annual Report on Form 10-K. Our most significant purchase commitments consist of approximately $12.2 million in cancellable purchase obligations to our CROs and other clinical trial vendors.</w:t>
      </w:r>
    </w:p>
    <w:p>
      <w:pPr>
        <w:pStyle w:val="TextBody"/>
        <w:spacing w:before="240" w:after="0"/>
        <w:jc w:val="left"/>
        <w:rPr>
          <w:rFonts w:ascii="Times New Roman" w:hAnsi="Times New Roman"/>
          <w:sz w:val="20"/>
        </w:rPr>
      </w:pPr>
      <w:r>
        <w:rPr>
          <w:rFonts w:ascii="Times New Roman;serif" w:hAnsi="Times New Roman;serif"/>
          <w:b w:val="false"/>
          <w:sz w:val="20"/>
        </w:rPr>
        <w:t>We believe that our existing cash and cash equivalents will enable us to fund our operating expenses and capital requirements into the first quarter of 2024. We will require additional capital to fund the research and development of our product candidates, to fund our manufacturing activities, to fund precommercial activities of our programs and for working capital and general corporate purposes.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costs and results of discovery, preclinical development, laboratory testing and clinical trials for TSHA-102, TSHA-120 and any current and future product candidates that we advance;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access sufficient additional capital on a timely basis and on favorable terms;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we develop, in-license or acquire other product candidates and technologies in our gene therapy product candidate pipeline;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process development and manufacturing scale-up activities associated with our product candidates and other programs as we advance them through preclinical and clinical development;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and development requirements of product candidates that we may pursue;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timing and outcome of regulatory review of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headcount growth and associated costs as we expand our research and development capabilities and establish a commercial infrastructure;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future commercialization activities, including product manufacturing, marketing, sales, and distribution, for any of our product candidates for which we receive marketing approval;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preparing, filing and prosecuting patent applications, maintaining and enforcing our intellectual property rights and defending any intellectual property-related claims;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revenue, if any, received from commercial sales of our product candidates for which we receive marketing approval;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whether we access the remaining tranches under our term loan facility with Silicon Valley Bank;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costs of operating as a public company. </w:t>
      </w:r>
    </w:p>
    <w:p>
      <w:pPr>
        <w:pStyle w:val="TextBody"/>
        <w:spacing w:before="240" w:after="0"/>
        <w:jc w:val="left"/>
        <w:rPr>
          <w:rFonts w:ascii="Times New Roman" w:hAnsi="Times New Roman"/>
          <w:sz w:val="20"/>
        </w:rPr>
      </w:pPr>
      <w:r>
        <w:rPr>
          <w:rFonts w:ascii="Times New Roman;serif" w:hAnsi="Times New Roman;serif"/>
          <w:b w:val="false"/>
          <w:sz w:val="20"/>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including the remaining tranches of our Term Loan Facility,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88</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shows a summary of our cash flows for the years ended December 31, 2022 and 2021 (in thousands):</w:t>
      </w:r>
      <w:r>
        <w:rPr>
          <w:rFonts w:ascii="Times New Roman" w:hAnsi="Times New Roman"/>
          <w:sz w:val="20"/>
        </w:rPr>
        <w:t xml:space="preserve"> </w:t>
      </w:r>
    </w:p>
    <w:p>
      <w:pPr>
        <w:pStyle w:val="TextBody"/>
        <w:spacing w:before="0" w:after="0"/>
        <w:jc w:val="left"/>
        <w:rPr/>
      </w:pPr>
      <w:r>
        <w:rPr/>
        <w:t> </w:t>
      </w:r>
    </w:p>
    <w:tbl>
      <w:tblPr>
        <w:tblW w:w="7304" w:type="dxa"/>
        <w:jc w:val="left"/>
        <w:tblInd w:w="0" w:type="dxa"/>
        <w:tblCellMar>
          <w:top w:w="28" w:type="dxa"/>
          <w:left w:w="28" w:type="dxa"/>
          <w:bottom w:w="28" w:type="dxa"/>
          <w:right w:w="28" w:type="dxa"/>
        </w:tblCellMar>
      </w:tblPr>
      <w:tblGrid>
        <w:gridCol w:w="4636"/>
        <w:gridCol w:w="146"/>
        <w:gridCol w:w="211"/>
        <w:gridCol w:w="736"/>
        <w:gridCol w:w="166"/>
        <w:gridCol w:w="146"/>
        <w:gridCol w:w="211"/>
        <w:gridCol w:w="841"/>
        <w:gridCol w:w="211"/>
      </w:tblGrid>
      <w:tr>
        <w:trPr/>
        <w:tc>
          <w:tcPr>
            <w:tcW w:w="4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w:t>
              <w:br/>
              <w:t>Ended December 31,</w:t>
            </w:r>
          </w:p>
        </w:tc>
        <w:tc>
          <w:tcPr>
            <w:tcW w:w="211" w:type="dxa"/>
            <w:tcBorders/>
            <w:shd w:fill="auto" w:val="cle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(117,042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(21,554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39,083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(61,223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(99,513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spacing w:before="0" w:after="0"/>
        <w:jc w:val="left"/>
        <w:rPr/>
      </w:pPr>
      <w:r>
        <w:rPr/>
        <w:t> </w:t>
      </w:r>
    </w:p>
    <w:p>
      <w:pPr>
        <w:pStyle w:val="TextBody"/>
        <w:spacing w:before="0" w:after="200"/>
        <w:jc w:val="left"/>
        <w:rPr>
          <w:rFonts w:ascii="Times New Roman;serif" w:hAnsi="Times New Roman;serif"/>
          <w:b w:val="false"/>
          <w:sz w:val="20"/>
        </w:rPr>
      </w:pPr>
      <w:r>
        <w:rPr>
          <w:rFonts w:ascii="Times New Roman;serif" w:hAnsi="Times New Roman;serif"/>
          <w:b w:val="false"/>
          <w:sz w:val="20"/>
        </w:rPr>
        <w:t>For the year ended December 31, 2022, our net cash used in operating activities of $88.4 million primarily consisted of a net loss of $166.0 million, primarily attributable to our spending on research and development expenses. The net loss of $166.0 million was partially offset by $59.1 million in adjustments for non-cash items as a result of the $36.4 impairment charge related to the North Carolina manufacturing facility and stock-based compensation expense of $18.0 million. The net loss was also partially offset by a source of cash of $18.5 million from the change in our operating assets and liabilities, primarily resulting from an increase in deferred revenue related to the Astellas Transactions.</w:t>
      </w:r>
    </w:p>
    <w:p>
      <w:pPr>
        <w:pStyle w:val="TextBody"/>
        <w:spacing w:before="240" w:after="200"/>
        <w:jc w:val="left"/>
        <w:rPr>
          <w:rFonts w:ascii="Times New Roman;serif" w:hAnsi="Times New Roman;serif"/>
          <w:b w:val="false"/>
          <w:sz w:val="20"/>
        </w:rPr>
      </w:pPr>
      <w:r>
        <w:rPr>
          <w:rFonts w:ascii="Times New Roman;serif" w:hAnsi="Times New Roman;serif"/>
          <w:b w:val="false"/>
          <w:sz w:val="20"/>
        </w:rPr>
        <w:t>For the year ended December 31, 2021, our net cash used in operating activities of $117.0 million primarily consisted of a net loss of $174.5 million, primarily attributable to our spending on research and development expenses. The net loss of $174.5 million was partially offset by $28.8 million in adjustments for non-cash items, primarily due to stock-based compensation expense of $18.2 million, and the add back of the up-front license fee of $5.5 million paid to HHF related to the acquisition of TSHA-120 which is treated as an investing outflow, and the regulatory milestone fee of $3.0 million due to Abeona in connection with the CLN1 Agreement, as well as other license fees of $1.3 million. The $174.5 million net loss was also partially offset by a source of cash of $28.7 million from the change in our operating assets and liabilities, primarily resulting from an increase in accounts payable and accrued expenses.</w:t>
      </w:r>
    </w:p>
    <w:p>
      <w:pPr>
        <w:pStyle w:val="TextBody"/>
        <w:spacing w:before="240" w:after="0"/>
        <w:jc w:val="left"/>
        <w:rPr>
          <w:rFonts w:ascii="Times New Roman" w:hAnsi="Times New Roman"/>
          <w:sz w:val="20"/>
        </w:rPr>
      </w:pPr>
      <w:r>
        <w:rPr>
          <w:rFonts w:ascii="Times New Roman;serif" w:hAnsi="Times New Roman;serif"/>
          <w:b/>
          <w:i/>
          <w:sz w:val="20"/>
        </w:rPr>
        <w:t>Investing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year ended December 31, 2022, investing activities used $24.9 million of cash primarily attributable to up-front license fee payments of $4.3 million and capital expenditures related to our North Carolina manufacturing facility.</w:t>
      </w:r>
    </w:p>
    <w:p>
      <w:pPr>
        <w:pStyle w:val="TextBody"/>
        <w:spacing w:before="240" w:after="0"/>
        <w:jc w:val="left"/>
        <w:rPr>
          <w:rFonts w:ascii="Times New Roman" w:hAnsi="Times New Roman"/>
          <w:sz w:val="20"/>
        </w:rPr>
      </w:pPr>
      <w:r>
        <w:rPr>
          <w:rFonts w:ascii="Times New Roman;serif" w:hAnsi="Times New Roman;serif"/>
          <w:b w:val="false"/>
          <w:sz w:val="20"/>
        </w:rPr>
        <w:t>During the year ended December 31, 2021, investing activities used $21.6 million of cash primarily attributable to the up-front license fee payment of $5.5 million to acquire exclusive worldwide rights to TSHA-120, for the treatment of GAN, and capital expenditures related to our North Carolina manufacturing facility and office space.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year ended December 31, 2022, financing activities provided $52.1 million of cash, which was attributable to the receipt of $39.4 million in net proceeds from the Follow-on Offering and sales of common stock pursuant to the Sales Agreement and $13.9 million in net proceeds from the sale of stock to Astellas. Additional financing proceeds were a result of $0.3 million of proceeds from issuance of shares under the Employee Stock Purchase Plan. This was partially offset by $1.4 million of cash paid for costs related to our filing of a shelf registration statement on Form S-3 and other financing activities.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year ended December 31, 2021, financing activities provided $39.1 million of cash, which was attributable to the receipt of $40.0 million in net proceeds from our Term Loan with Silicon Valley Bank, partially offset by $0.4 million of cash paid for costs related to our filing of a shelf registration statement on Form S-3 and $0.5 million in other financing activities.</w:t>
      </w:r>
    </w:p>
    <w:p>
      <w:pPr>
        <w:pStyle w:val="TextBody"/>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did not have during the periods presented, and we do not currently have, any off-balance sheet arrangements, as defined in the rules and regulations of the SEC.</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 expenses and the disclosure of contingent assets and liabilities in our financial statements. In accordance with U.S. GAAP, we evaluate our estimates and judgments on an ongoing basis, including those related to research and development expenses, stock-based compensation and the Astellas Transactions. We base our estimates on historical experience, known trends and events, and various other factors that are believed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consolidated financial statements located in Part IV, Item 15 of this Annual Report on Form 10-K, we believe the following are the critical accounting policies used in the preparation of our financial statements that require significant estimates and judgments.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Research and Development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We record accruals for estimated ongoing research costs. When evaluating the adequacy of the accrued liabilities, we analyze progress of the studies, including the phase or completion of events, invoices received and contracted costs.</w:t>
      </w:r>
    </w:p>
    <w:p>
      <w:pPr>
        <w:pStyle w:val="TextBody"/>
        <w:spacing w:before="240" w:after="0"/>
        <w:jc w:val="left"/>
        <w:rPr>
          <w:rFonts w:ascii="Times New Roman" w:hAnsi="Times New Roman"/>
          <w:sz w:val="20"/>
        </w:rPr>
      </w:pPr>
      <w:r>
        <w:rPr>
          <w:rFonts w:ascii="Times New Roman;serif" w:hAnsi="Times New Roman;serif"/>
          <w:b w:val="false"/>
          <w:sz w:val="20"/>
        </w:rPr>
        <w:t>Research and development costs primarily consist of payroll, stock-based compensation, clinical trial expense, certain manufacturing costs, laboratory costs and other supplies, and the cost to acquire third-party licenses.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Costs incurred in obtaining technology licenses through asset acquisitions are charged to research and development expense if the licensed technology has not reached technological feasibility and has no alternative future use.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date, we have not experienced significant changes in our estimates of accrued research and development liabilities after a reporting period. However, due to the nature of estimates, there is no assurance that we will not make changes to our estimates in the future as we become aware of additional information about the status or conduct of our clinical studies and other research activities.</w:t>
      </w:r>
    </w:p>
    <w:p>
      <w:pPr>
        <w:pStyle w:val="TextBody"/>
        <w:spacing w:before="360" w:after="0"/>
        <w:jc w:val="left"/>
        <w:rPr>
          <w:rFonts w:ascii="Times New Roman;serif" w:hAnsi="Times New Roman;serif"/>
          <w:b/>
          <w:sz w:val="20"/>
        </w:rPr>
      </w:pPr>
      <w:r>
        <w:rPr>
          <w:rFonts w:ascii="Times New Roman;serif" w:hAnsi="Times New Roman;serif"/>
          <w:b/>
          <w:sz w:val="20"/>
        </w:rPr>
        <w:t>Stock</w:t>
        <w:noBreakHyphen/>
        <w:t>Based Compensation</w:t>
      </w:r>
    </w:p>
    <w:p>
      <w:pPr>
        <w:pStyle w:val="TextBody"/>
        <w:spacing w:before="120" w:after="0"/>
        <w:jc w:val="left"/>
        <w:rPr>
          <w:rFonts w:ascii="Times New Roman;serif" w:hAnsi="Times New Roman;serif"/>
          <w:b w:val="false"/>
          <w:sz w:val="20"/>
        </w:rPr>
      </w:pPr>
      <w:bookmarkStart w:id="13" w:name="page107"/>
      <w:bookmarkEnd w:id="13"/>
      <w:r>
        <w:rPr>
          <w:rFonts w:ascii="Times New Roman;serif" w:hAnsi="Times New Roman;serif"/>
          <w:b w:val="false"/>
          <w:sz w:val="20"/>
        </w:rPr>
        <w:t>We account for all stock-based payments to employees and non-employees, including grants of stock options, restricted stock awards, or “RSAs” and restricted stock units or, “RSUs” based on their respective grant date fair values. We estimate the fair value of stock option grants using the Black-Scholes option pricing model, which is affected principally by the estimated fair value of shares of our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our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we have never paid cash dividends and do not expect to pay any cash dividends in the foreseeable future.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Prior to September 23, 2020, the fair value of common stock underlying our stock options, RSAs and RSUs was estimated by our board of directors considering, among other things, contemporaneous valuations of our common stock prepared by unrelated third-party valuation firms. After the IPO, the fair value of common stock is based on the closing price of our common stock on the Nasdaq Global Select Market as reported on the date of the grant.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RSAs and RSUs are valued based on the fair value of our common stock on the date of grant. The Company expenses stock-based compensation related to stock options, RSAs and RSUs over the requisite service period using the straight-line method. Stock-based compensation costs are generally recorded in research and development expense or general and administrative expense in the consolidated statements of operations based upon the respective employee’s roles within our Company, however a portion of stock-based compensation related to employees who were directly involved in the manufacturing facility buildout, has been capitalized into the cost basis of the manufacturing plant. Forfeitures are recorded as they occur.</w:t>
      </w:r>
    </w:p>
    <w:p>
      <w:pPr>
        <w:pStyle w:val="TextBody"/>
        <w:spacing w:before="360" w:after="0"/>
        <w:jc w:val="left"/>
        <w:rPr>
          <w:rFonts w:ascii="Times New Roman;serif" w:hAnsi="Times New Roman;serif"/>
          <w:b/>
          <w:sz w:val="20"/>
        </w:rPr>
      </w:pPr>
      <w:r>
        <w:rPr>
          <w:rFonts w:ascii="Times New Roman;serif" w:hAnsi="Times New Roman;serif"/>
          <w:b/>
          <w:sz w:val="20"/>
        </w:rPr>
        <w:t>Astellas Transactions</w:t>
      </w:r>
    </w:p>
    <w:p>
      <w:pPr>
        <w:pStyle w:val="TextBody"/>
        <w:spacing w:before="120" w:after="0"/>
        <w:jc w:val="left"/>
        <w:rPr>
          <w:rFonts w:ascii="Times New Roman" w:hAnsi="Times New Roman"/>
          <w:sz w:val="20"/>
        </w:rPr>
      </w:pPr>
      <w:r>
        <w:rPr>
          <w:rFonts w:ascii="Times New Roman;serif" w:hAnsi="Times New Roman;serif"/>
          <w:b w:val="false"/>
          <w:sz w:val="20"/>
        </w:rPr>
        <w:t>In October 2022, we entered into the Securities Purchase Agreement with Astellas, pursuant to which we agreed to issue and sell to Astellas an aggregate of 7,266,342 shares of our common stock, for aggregate proceeds of approximately $30.0 million. Upon closing of the Private Placement and transferring 7,266,342 shares to Astellas, we recorded the issuance of shares at fair value. Fair value of the shares transferred to Astellas was calculated in accordance with ASC 820, Fair Value Measurement by analyzing our stock price for a period of time prior to and after the transaction date as traded on the NASDAQ. The NASDAQ trading data is considered an active market and a Level 1 measurement under ASC 820. The fair value was determined to be approximately $13.95 million or $1.92 per share.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$16.1 million difference between the $30.0 million paid by Astellas and the fair market value of shares issued was allocated to the transaction price of the Option Agreement.</w:t>
      </w:r>
    </w:p>
    <w:p>
      <w:pPr>
        <w:pStyle w:val="TextBody"/>
        <w:spacing w:before="240" w:after="0"/>
        <w:jc w:val="left"/>
        <w:rPr>
          <w:rFonts w:ascii="Times New Roman" w:hAnsi="Times New Roman"/>
          <w:sz w:val="20"/>
        </w:rPr>
      </w:pPr>
      <w:r>
        <w:rPr>
          <w:rFonts w:ascii="Times New Roman;serif" w:hAnsi="Times New Roman;serif"/>
          <w:b w:val="false"/>
          <w:sz w:val="20"/>
        </w:rPr>
        <w:t xml:space="preserve">We determined that the Option Agreement falls within the scope of ASC 606, </w:t>
      </w:r>
      <w:r>
        <w:rPr>
          <w:rFonts w:ascii="Times New Roman;serif" w:hAnsi="Times New Roman;serif"/>
          <w:b w:val="false"/>
          <w:i/>
          <w:sz w:val="20"/>
        </w:rPr>
        <w:t>Revenue from Contracts with Customers</w:t>
      </w:r>
      <w:r>
        <w:rPr>
          <w:rFonts w:ascii="Times New Roman" w:hAnsi="Times New Roman"/>
          <w:sz w:val="20"/>
        </w:rPr>
        <w:t xml:space="preserve"> </w:t>
      </w:r>
      <w:r>
        <w:rPr>
          <w:rFonts w:ascii="Times New Roman;serif" w:hAnsi="Times New Roman;serif"/>
          <w:b w:val="false"/>
          <w:sz w:val="20"/>
        </w:rPr>
        <w:t>as the development of TSHA-102 for the treatment of Rett Syndrome and TSHA-120 for the treatment of GAN are considered ordinary activities for us. In accordance with ASC 606, we evaluated the Option Agreement and identified three separate performance obligations: (1) option to obtain licensing right to GAN, (2) option to obtain licensing right to Rett and (3) performance of research and development activities associated with our Rett program. The transaction price is determined to be $36.1 million which is comprised of the $20.0 million Upfront Payment and the $16.1 million allocated from the Private Placement.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determine the standalone selling price, or the SSP, of the Rett and GAN options which we concluded represent material rights, we utilized the probability-weighted expected return, or PWERM, method. The PWERM method contemplates the probability and timing of an option exercise. At contract inception, we used significant judgement to estimate the probability of exercise of each option at 50%. The SSP of the Rett research and development activities was estimated using an expected cost plus margin approach. The standalone selling prices of the material rights and Rett research and development activities were then used to proportionately allocate the $36.1 million transaction price to the three performance obligations.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 During the year ended December 31, 2022, there were no significant changes to the total estimated costs to be incurred to satisfy the performance obligation associated with the Rett research and development activities. We expect the revenue associated with this performance obligation to be earned by the end of 2023.</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See Note 2 to our audited consolidated financial statements located in Part IV, Item 15 of this Annual Report on Form 10-K for a description of recent accounting pronouncements applicable to our financial statements.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Emerging Growth Company and Smaller Reporting Company Status</w:t>
      </w:r>
    </w:p>
    <w:p>
      <w:pPr>
        <w:pStyle w:val="TextBody"/>
        <w:spacing w:before="120" w:after="0"/>
        <w:jc w:val="left"/>
        <w:rPr>
          <w:rFonts w:ascii="Times New Roman" w:hAnsi="Times New Roman"/>
          <w:sz w:val="20"/>
        </w:rPr>
      </w:pPr>
      <w:r>
        <w:rPr>
          <w:rFonts w:ascii="Times New Roman;serif" w:hAnsi="Times New Roman;serif"/>
          <w:b w:val="false"/>
          <w:sz w:val="20"/>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 In addition, as an emerging growth company, we may take advantage of specified reduced disclosure and other requirements that are otherwise applicable generally to public companies. These provisions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exception from compliance with the auditor attestation requirements of Section 404 of the Sarbanes-Oxley Act of 2002, as amended;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reduced disclosure about our executive compensation arrangements in our periodic reports, proxy statements and registration statements;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exemptions from the requirements of holding non-binding advisory votes on executive compensation or golden parachute arrangements;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 exemption from compliance with the requirements of the Public Company Accounting Oversight Board regarding the communication of critical audit matters in the auditor’s report on financial statements. 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Annual Report on Form 10-K and our other filings with the SEC. Accordingly, the information contained herein may be different than you might obtain from other public companies in which you hold equity interests. </w:t>
      </w:r>
    </w:p>
    <w:p>
      <w:pPr>
        <w:pStyle w:val="TextBody"/>
        <w:spacing w:before="360" w:after="0"/>
        <w:jc w:val="left"/>
        <w:rPr>
          <w:rFonts w:ascii="Times New Roman" w:hAnsi="Times New Roman"/>
          <w:sz w:val="20"/>
        </w:rPr>
      </w:pPr>
      <w:r>
        <w:rPr>
          <w:rFonts w:ascii="Times New Roman;serif" w:hAnsi="Times New Roman;serif"/>
          <w:b w:val="false"/>
          <w:sz w:val="20"/>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92</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4" w:name="item_7a_quantitative_qualitative_disclos"/>
      <w:bookmarkEnd w:id="14"/>
      <w:r>
        <w:rPr>
          <w:rFonts w:ascii="Times New Roman;serif" w:hAnsi="Times New Roman;serif"/>
          <w:b/>
          <w:sz w:val="20"/>
        </w:rPr>
        <w:t>Item 7A. Quantitative and Qualitative Disclosures About Market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smaller reporting company as defined by Rule 12b-2 of the Exchange Act and are not required to provide the information required under this item.</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5" w:name="item_8_financial_statements_supplementar"/>
      <w:bookmarkEnd w:id="15"/>
      <w:r>
        <w:rPr>
          <w:rFonts w:ascii="Times New Roman;serif" w:hAnsi="Times New Roman;serif"/>
          <w:b/>
          <w:sz w:val="20"/>
        </w:rPr>
        <w:t>Item 8. Financial Statements and Supplementary Data.</w:t>
      </w:r>
    </w:p>
    <w:p>
      <w:pPr>
        <w:pStyle w:val="TextBody"/>
        <w:spacing w:before="360" w:after="0"/>
        <w:jc w:val="center"/>
        <w:rPr>
          <w:rFonts w:ascii="Times New Roman;serif" w:hAnsi="Times New Roman;serif"/>
          <w:b/>
          <w:sz w:val="20"/>
        </w:rPr>
      </w:pPr>
      <w:r>
        <w:rPr>
          <w:rFonts w:ascii="Times New Roman;serif" w:hAnsi="Times New Roman;serif"/>
          <w:b/>
          <w:sz w:val="20"/>
        </w:rPr>
        <w:t>Report of Independent Registered Public Accounting Firm</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To the Stockholders and the Board of Directors of Taysha Gene Therapies, Inc.</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Opinion on the Financial Statements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audited the accompanying consolidated balance sheets of Taysha Gene Therapies, Inc. (the “Company”) as of December 31, 2022 and 2021, the related consolidated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Going Concern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accompanying financial statements have been prepared assuming that the Company will continue as a going concern. As discussed in Note 1 to the financial statements, the Company’s recurring losses from operations and cash used in operations raise substantial doubt about its ability to continue as a going concern. Management’s plans in regard to these matters are also described in Note 1. The financial statements do not include any adjustments that might result from the outcome of this uncertainty.</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Change in Accounting Principle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As discussed in Note 2 to the financial statements, the Company changed its method of accounting for leases effective January 1, 2022 due to the adoption of Financial Accounting Standards Board ASU No. 2016-02, </w:t>
      </w:r>
      <w:r>
        <w:rPr>
          <w:rFonts w:ascii="Times New Roman;serif" w:hAnsi="Times New Roman;serif"/>
          <w:b w:val="false"/>
          <w:i/>
          <w:sz w:val="20"/>
        </w:rPr>
        <w:t xml:space="preserve">Leases </w:t>
      </w:r>
      <w:r>
        <w:rPr>
          <w:rFonts w:ascii="Times New Roman;serif" w:hAnsi="Times New Roman;serif"/>
          <w:b w:val="false"/>
          <w:sz w:val="20"/>
        </w:rPr>
        <w:t>(Topic 842), using the modified retrospective approach.</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Basis for Opinion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240" w:after="0"/>
        <w:jc w:val="left"/>
        <w:rPr>
          <w:rFonts w:ascii="Times New Roman;serif" w:hAnsi="Times New Roman;serif"/>
          <w:b/>
          <w:sz w:val="20"/>
        </w:rPr>
      </w:pPr>
      <w:r>
        <w:rPr>
          <w:rFonts w:ascii="Times New Roman;serif" w:hAnsi="Times New Roman;serif"/>
          <w:b/>
          <w:sz w:val="20"/>
        </w:rPr>
        <w:t>/s/ Deloitte &amp; Touche LLP</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Dallas, Texas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March 28, 2023</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served as the Company's auditor since 2020.</w:t>
      </w:r>
    </w:p>
    <w:p>
      <w:pPr>
        <w:pStyle w:val="TextBody"/>
        <w:spacing w:before="24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0"/>
        <w:jc w:val="center"/>
        <w:rPr>
          <w:rFonts w:ascii="Times New Roman;serif" w:hAnsi="Times New Roman;serif"/>
          <w:b/>
          <w:sz w:val="20"/>
        </w:rPr>
      </w:pPr>
      <w:r>
        <w:rPr>
          <w:rFonts w:ascii="Times New Roman;serif" w:hAnsi="Times New Roman;serif"/>
          <w:b/>
          <w:sz w:val="20"/>
        </w:rPr>
        <w:t>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and per share data)</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199"/>
        <w:gridCol w:w="146"/>
        <w:gridCol w:w="214"/>
        <w:gridCol w:w="854"/>
        <w:gridCol w:w="166"/>
        <w:gridCol w:w="146"/>
        <w:gridCol w:w="214"/>
        <w:gridCol w:w="854"/>
        <w:gridCol w:w="412"/>
      </w:tblGrid>
      <w:tr>
        <w:trPr/>
        <w:tc>
          <w:tcPr>
            <w:tcW w:w="71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r>
      <w:tr>
        <w:trPr/>
        <w:tc>
          <w:tcPr>
            <w:tcW w:w="719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8"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8" w:type="dxa"/>
            <w:gridSpan w:val="2"/>
            <w:tcBorders/>
            <w:shd w:fill="auto" w:val="clear"/>
            <w:vAlign w:val="center"/>
          </w:tcPr>
          <w:p>
            <w:pPr>
              <w:pStyle w:val="TableContents"/>
              <w:spacing w:before="0" w:after="0"/>
              <w:ind w:left="0" w:right="0" w:hanging="0"/>
              <w:jc w:val="center"/>
              <w:rPr/>
            </w:pPr>
            <w:r>
              <w:rPr/>
              <w:t> </w:t>
            </w:r>
          </w:p>
        </w:tc>
        <w:tc>
          <w:tcPr>
            <w:tcW w:w="412" w:type="dxa"/>
            <w:tcBorders/>
            <w:shd w:fill="auto" w:val="clear"/>
            <w:vAlign w:val="center"/>
          </w:tcPr>
          <w:p>
            <w:pPr>
              <w:pStyle w:val="TableContents"/>
              <w:spacing w:before="0" w:after="0"/>
              <w:ind w:left="0" w:right="0" w:hanging="0"/>
              <w:jc w:val="center"/>
              <w:rPr/>
            </w:pPr>
            <w:r>
              <w:rPr/>
              <w:t> </w:t>
            </w:r>
          </w:p>
        </w:tc>
      </w:tr>
      <w:tr>
        <w:trPr/>
        <w:tc>
          <w:tcPr>
            <w:tcW w:w="719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firstLine="200"/>
              <w:jc w:val="right"/>
              <w:rPr/>
            </w:pPr>
            <w:r>
              <w:rPr/>
              <w:t> </w:t>
            </w:r>
          </w:p>
        </w:tc>
      </w:tr>
      <w:tr>
        <w:trPr/>
        <w:tc>
          <w:tcPr>
            <w:tcW w:w="719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87,880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149,103</w:t>
            </w:r>
          </w:p>
        </w:tc>
        <w:tc>
          <w:tcPr>
            <w:tcW w:w="412" w:type="dxa"/>
            <w:tcBorders/>
            <w:shd w:fill="auto" w:val="clear"/>
            <w:vAlign w:val="center"/>
          </w:tcPr>
          <w:p>
            <w:pPr>
              <w:pStyle w:val="TableContents"/>
              <w:spacing w:before="0" w:after="0"/>
              <w:ind w:left="0" w:right="0" w:firstLine="200"/>
              <w:jc w:val="left"/>
              <w:rPr/>
            </w:pPr>
            <w:r>
              <w:rPr/>
              <w:t> </w:t>
            </w:r>
          </w:p>
        </w:tc>
      </w:tr>
      <w:tr>
        <w:trPr/>
        <w:tc>
          <w:tcPr>
            <w:tcW w:w="719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10,499</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159,602</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2,637</w:t>
            </w:r>
          </w:p>
        </w:tc>
        <w:tc>
          <w:tcPr>
            <w:tcW w:w="412" w:type="dxa"/>
            <w:tcBorders/>
            <w:shd w:fill="auto" w:val="cle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net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50,610</w:t>
            </w:r>
          </w:p>
        </w:tc>
        <w:tc>
          <w:tcPr>
            <w:tcW w:w="412" w:type="dxa"/>
            <w:tcBorders/>
            <w:shd w:fill="auto" w:val="cle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pPr>
            <w:r>
              <w:rPr/>
              <w:t>—</w:t>
            </w:r>
          </w:p>
        </w:tc>
        <w:tc>
          <w:tcPr>
            <w:tcW w:w="412" w:type="dxa"/>
            <w:tcBorders/>
            <w:shd w:fill="auto" w:val="cle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1,107</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126,276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213,956</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firstLine="200"/>
              <w:jc w:val="right"/>
              <w:rPr/>
            </w:pPr>
            <w:r>
              <w:rPr/>
              <w:t> </w:t>
            </w:r>
          </w:p>
        </w:tc>
      </w:tr>
      <w:tr>
        <w:trPr/>
        <w:tc>
          <w:tcPr>
            <w:tcW w:w="719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21,763</w:t>
            </w:r>
          </w:p>
        </w:tc>
        <w:tc>
          <w:tcPr>
            <w:tcW w:w="412" w:type="dxa"/>
            <w:tcBorders/>
            <w:shd w:fill="auto" w:val="clear"/>
            <w:vAlign w:val="center"/>
          </w:tcPr>
          <w:p>
            <w:pPr>
              <w:pStyle w:val="TableContents"/>
              <w:spacing w:before="0" w:after="0"/>
              <w:ind w:left="0" w:right="0" w:firstLine="200"/>
              <w:jc w:val="left"/>
              <w:rPr/>
            </w:pPr>
            <w:r>
              <w:rPr/>
              <w:t> </w:t>
            </w:r>
          </w:p>
        </w:tc>
      </w:tr>
      <w:tr>
        <w:trPr/>
        <w:tc>
          <w:tcPr>
            <w:tcW w:w="719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29,983</w:t>
            </w:r>
          </w:p>
        </w:tc>
        <w:tc>
          <w:tcPr>
            <w:tcW w:w="412" w:type="dxa"/>
            <w:tcBorders/>
            <w:shd w:fill="auto" w:val="clear"/>
            <w:vAlign w:val="center"/>
          </w:tcPr>
          <w:p>
            <w:pPr>
              <w:pStyle w:val="TableContents"/>
              <w:spacing w:before="0" w:after="0"/>
              <w:ind w:left="0" w:right="0" w:firstLine="200"/>
              <w:jc w:val="left"/>
              <w:rPr/>
            </w:pPr>
            <w:r>
              <w:rPr/>
              <w:t> </w:t>
            </w:r>
          </w:p>
        </w:tc>
      </w:tr>
      <w:tr>
        <w:trPr/>
        <w:tc>
          <w:tcPr>
            <w:tcW w:w="719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51,746</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Build-to-suit lease liability</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25,900</w:t>
            </w:r>
          </w:p>
        </w:tc>
        <w:tc>
          <w:tcPr>
            <w:tcW w:w="412" w:type="dxa"/>
            <w:tcBorders/>
            <w:shd w:fill="auto" w:val="cle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net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37,192</w:t>
            </w:r>
          </w:p>
        </w:tc>
        <w:tc>
          <w:tcPr>
            <w:tcW w:w="412" w:type="dxa"/>
            <w:tcBorders/>
            <w:shd w:fill="auto" w:val="cle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pPr>
            <w:r>
              <w:rPr/>
              <w:t>—</w:t>
            </w:r>
          </w:p>
        </w:tc>
        <w:tc>
          <w:tcPr>
            <w:tcW w:w="412" w:type="dxa"/>
            <w:tcBorders/>
            <w:shd w:fill="auto" w:val="cle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3,735</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125,327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118,573</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Commitments and contingencies - Note 11</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pPr>
            <w:r>
              <w:rPr/>
              <w:t> </w:t>
            </w:r>
          </w:p>
        </w:tc>
      </w:tr>
      <w:tr>
        <w:trPr/>
        <w:tc>
          <w:tcPr>
            <w:tcW w:w="7199"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Preferred stock, $0.00001</w:t>
            </w:r>
            <w:r>
              <w:rPr>
                <w:rFonts w:ascii="Times New Roman" w:hAnsi="Times New Roman"/>
                <w:sz w:val="20"/>
              </w:rPr>
              <w:t> </w:t>
            </w:r>
            <w:r>
              <w:rPr>
                <w:rFonts w:ascii="Times New Roman;serif" w:hAnsi="Times New Roman;serif"/>
                <w:b w:val="false"/>
                <w:sz w:val="20"/>
              </w:rPr>
              <w:t>par value per share; 10,000,000</w:t>
            </w:r>
            <w:r>
              <w:rPr>
                <w:rFonts w:ascii="Times New Roman" w:hAnsi="Times New Roman"/>
                <w:sz w:val="20"/>
              </w:rPr>
              <w:t> </w:t>
            </w:r>
            <w:r>
              <w:rPr>
                <w:rFonts w:ascii="Times New Roman;serif" w:hAnsi="Times New Roman;serif"/>
                <w:b w:val="false"/>
                <w:sz w:val="20"/>
              </w:rPr>
              <w:t>shares authorized and no</w:t>
            </w:r>
            <w:r>
              <w:rPr>
                <w:rFonts w:ascii="Times New Roman" w:hAnsi="Times New Roman"/>
                <w:sz w:val="20"/>
              </w:rPr>
              <w:t> </w:t>
            </w:r>
            <w:r>
              <w:rPr>
                <w:rFonts w:ascii="Times New Roman;serif" w:hAnsi="Times New Roman;serif"/>
                <w:b w:val="false"/>
                <w:sz w:val="20"/>
              </w:rPr>
              <w:t>shares issued and outstanding as of December 31, 2022 and December 31, 2021</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pPr>
            <w:r>
              <w:rPr/>
              <w:t>—</w:t>
            </w:r>
          </w:p>
        </w:tc>
        <w:tc>
          <w:tcPr>
            <w:tcW w:w="412" w:type="dxa"/>
            <w:tcBorders/>
            <w:shd w:fill="auto" w:val="cle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Common stock, $0.00001</w:t>
            </w:r>
            <w:r>
              <w:rPr>
                <w:rFonts w:ascii="Times New Roman" w:hAnsi="Times New Roman"/>
                <w:sz w:val="20"/>
              </w:rPr>
              <w:t> </w:t>
            </w:r>
            <w:r>
              <w:rPr>
                <w:rFonts w:ascii="Times New Roman;serif" w:hAnsi="Times New Roman;serif"/>
                <w:b w:val="false"/>
                <w:sz w:val="20"/>
              </w:rPr>
              <w:t>par value per share; 200,000,000</w:t>
            </w:r>
            <w:r>
              <w:rPr>
                <w:rFonts w:ascii="Times New Roman" w:hAnsi="Times New Roman"/>
                <w:sz w:val="20"/>
              </w:rPr>
              <w:t> </w:t>
            </w:r>
            <w:r>
              <w:rPr>
                <w:rFonts w:ascii="Times New Roman;serif" w:hAnsi="Times New Roman;serif"/>
                <w:b w:val="false"/>
                <w:sz w:val="20"/>
              </w:rPr>
              <w:t>shares authorized and 63,207,507</w:t>
            </w:r>
            <w:r>
              <w:rPr>
                <w:rFonts w:ascii="Times New Roman" w:hAnsi="Times New Roman"/>
                <w:sz w:val="20"/>
              </w:rPr>
              <w:t> </w:t>
            </w:r>
            <w:r>
              <w:rPr>
                <w:rFonts w:ascii="Times New Roman;serif" w:hAnsi="Times New Roman;serif"/>
                <w:b w:val="false"/>
                <w:sz w:val="20"/>
              </w:rPr>
              <w:t>and 38,473,945</w:t>
            </w:r>
            <w:r>
              <w:rPr>
                <w:rFonts w:ascii="Times New Roman" w:hAnsi="Times New Roman"/>
                <w:sz w:val="20"/>
              </w:rPr>
              <w:t> </w:t>
            </w:r>
            <w:r>
              <w:rPr>
                <w:rFonts w:ascii="Times New Roman;serif" w:hAnsi="Times New Roman;serif"/>
                <w:b w:val="false"/>
                <w:sz w:val="20"/>
              </w:rPr>
              <w:t>issued and outstanding as of December 31, 2022 and December 31, 2021, respectively</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pPr>
            <w:r>
              <w:rPr/>
              <w:t>—</w:t>
            </w:r>
          </w:p>
        </w:tc>
        <w:tc>
          <w:tcPr>
            <w:tcW w:w="412" w:type="dxa"/>
            <w:tcBorders/>
            <w:shd w:fill="auto" w:val="cle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402,389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331,032</w:t>
            </w:r>
          </w:p>
        </w:tc>
        <w:tc>
          <w:tcPr>
            <w:tcW w:w="412" w:type="dxa"/>
            <w:tcBorders/>
            <w:shd w:fill="auto" w:val="cle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(401,441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(235,649</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9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95,383</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126,276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213,956</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0"/>
        <w:jc w:val="center"/>
        <w:rPr>
          <w:rFonts w:ascii="Times New Roman;serif" w:hAnsi="Times New Roman;serif"/>
          <w:b/>
          <w:sz w:val="20"/>
        </w:rPr>
      </w:pPr>
      <w:r>
        <w:rPr>
          <w:rFonts w:ascii="Times New Roman;serif" w:hAnsi="Times New Roman;serif"/>
          <w:b/>
          <w:sz w:val="20"/>
        </w:rPr>
        <w:t>Consolidated Statements of Operations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and per share data)</w:t>
      </w:r>
    </w:p>
    <w:p>
      <w:pPr>
        <w:pStyle w:val="TextBody"/>
        <w:spacing w:before="0" w:after="0"/>
        <w:jc w:val="left"/>
        <w:rPr/>
      </w:pPr>
      <w:r>
        <w:rPr/>
        <w:t> </w:t>
      </w:r>
    </w:p>
    <w:p>
      <w:pPr>
        <w:pStyle w:val="TextBody"/>
        <w:spacing w:before="0" w:after="0"/>
        <w:jc w:val="left"/>
        <w:rPr/>
      </w:pPr>
      <w:r>
        <w:rPr/>
        <w:t> </w:t>
      </w:r>
    </w:p>
    <w:tbl>
      <w:tblPr>
        <w:tblW w:w="8749" w:type="dxa"/>
        <w:jc w:val="left"/>
        <w:tblInd w:w="0" w:type="dxa"/>
        <w:tblCellMar>
          <w:top w:w="28" w:type="dxa"/>
          <w:left w:w="28" w:type="dxa"/>
          <w:bottom w:w="28" w:type="dxa"/>
          <w:right w:w="28" w:type="dxa"/>
        </w:tblCellMar>
      </w:tblPr>
      <w:tblGrid>
        <w:gridCol w:w="5386"/>
        <w:gridCol w:w="146"/>
        <w:gridCol w:w="211"/>
        <w:gridCol w:w="1036"/>
        <w:gridCol w:w="166"/>
        <w:gridCol w:w="146"/>
        <w:gridCol w:w="211"/>
        <w:gridCol w:w="1036"/>
        <w:gridCol w:w="411"/>
      </w:tblGrid>
      <w:tr>
        <w:trPr/>
        <w:tc>
          <w:tcPr>
            <w:tcW w:w="5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w:t>
              <w:br/>
              <w:t>Ended December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firstLine="200"/>
              <w:jc w:val="center"/>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91,169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131,943</w:t>
            </w:r>
          </w:p>
        </w:tc>
        <w:tc>
          <w:tcPr>
            <w:tcW w:w="411" w:type="dxa"/>
            <w:tcBorders/>
            <w:shd w:fill="auto" w:val="cle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41,324</w:t>
            </w:r>
          </w:p>
        </w:tc>
        <w:tc>
          <w:tcPr>
            <w:tcW w:w="411" w:type="dxa"/>
            <w:tcBorders/>
            <w:shd w:fill="auto" w:val="cle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of long-lived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164,949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173,267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(162,447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(173,267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411" w:type="dxa"/>
            <w:tcBorders/>
            <w:shd w:fill="auto" w:val="cle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(1,428</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(166,014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(174,523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43,952,015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37,650,566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0"/>
        <w:jc w:val="center"/>
        <w:rPr>
          <w:rFonts w:ascii="Times New Roman;serif" w:hAnsi="Times New Roman;serif"/>
          <w:b/>
          <w:sz w:val="20"/>
        </w:rPr>
      </w:pPr>
      <w:r>
        <w:rPr>
          <w:rFonts w:ascii="Times New Roman;serif" w:hAnsi="Times New Roman;serif"/>
          <w:b/>
          <w:sz w:val="20"/>
        </w:rPr>
        <w:t>Consolidated Statements of Stockholders’ Equity</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data)</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4166"/>
        <w:gridCol w:w="146"/>
        <w:gridCol w:w="146"/>
        <w:gridCol w:w="916"/>
        <w:gridCol w:w="146"/>
        <w:gridCol w:w="146"/>
        <w:gridCol w:w="228"/>
        <w:gridCol w:w="403"/>
        <w:gridCol w:w="146"/>
        <w:gridCol w:w="146"/>
        <w:gridCol w:w="196"/>
        <w:gridCol w:w="691"/>
        <w:gridCol w:w="146"/>
        <w:gridCol w:w="146"/>
        <w:gridCol w:w="196"/>
        <w:gridCol w:w="751"/>
        <w:gridCol w:w="166"/>
        <w:gridCol w:w="146"/>
        <w:gridCol w:w="199"/>
        <w:gridCol w:w="766"/>
        <w:gridCol w:w="213"/>
      </w:tblGrid>
      <w:tr>
        <w:trPr/>
        <w:tc>
          <w:tcPr>
            <w:tcW w:w="4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5"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13" w:type="dxa"/>
            <w:tcBorders/>
            <w:shd w:fill="auto" w:val="clear"/>
            <w:vAlign w:val="center"/>
          </w:tcPr>
          <w:p>
            <w:pPr>
              <w:pStyle w:val="TableContents"/>
              <w:spacing w:before="0" w:after="0"/>
              <w:ind w:left="0" w:right="0" w:hanging="0"/>
              <w:jc w:val="center"/>
              <w:rPr/>
            </w:pPr>
            <w:r>
              <w:rPr/>
              <w:t> </w:t>
            </w:r>
          </w:p>
        </w:tc>
      </w:tr>
      <w:tr>
        <w:trPr/>
        <w:tc>
          <w:tcPr>
            <w:tcW w:w="4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8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5"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Stockholders'</w:t>
            </w:r>
          </w:p>
        </w:tc>
        <w:tc>
          <w:tcPr>
            <w:tcW w:w="213" w:type="dxa"/>
            <w:tcBorders/>
            <w:shd w:fill="auto" w:val="clear"/>
            <w:vAlign w:val="center"/>
          </w:tcPr>
          <w:p>
            <w:pPr>
              <w:pStyle w:val="TableContents"/>
              <w:spacing w:before="0" w:after="0"/>
              <w:ind w:left="0" w:right="0" w:hanging="0"/>
              <w:jc w:val="center"/>
              <w:rPr/>
            </w:pPr>
            <w:r>
              <w:rPr/>
              <w:t> </w:t>
            </w:r>
          </w:p>
        </w:tc>
      </w:tr>
      <w:tr>
        <w:trPr/>
        <w:tc>
          <w:tcPr>
            <w:tcW w:w="4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Equity</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as of December 31, 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37,761,435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312,428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(61,126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251,302</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18,604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18,604</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upon vesting and settlement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712,510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(174,523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(174,523</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38,473,945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331,032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(235,649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66"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95,383</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 to beginning accumulated deficit from adoption of ASC 842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222</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18,275</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to Astellas, net of offering costs of $187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7,266,342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13,764</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in a public offering, net of underwriting discount and other offering costs of $2,072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14,765,226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27,457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27,457</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in an at-the-market offering, net of sales commissions and other offering costs of $392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11,609</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upon vesting and settlement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628,921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under ESPP</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73,073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w:t>
            </w:r>
          </w:p>
        </w:tc>
        <w:tc>
          <w:tcPr>
            <w:tcW w:w="213" w:type="dxa"/>
            <w:tcBorders/>
            <w:shd w:fill="auto" w:val="clear"/>
            <w:vAlign w:val="center"/>
          </w:tcPr>
          <w:p>
            <w:pPr>
              <w:pStyle w:val="TableContents"/>
              <w:spacing w:before="0" w:after="0"/>
              <w:ind w:left="0" w:right="0" w:hanging="0"/>
              <w:jc w:val="left"/>
              <w:rPr/>
            </w:pPr>
            <w:r>
              <w:rPr/>
              <w:t> </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(166,014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(166,014</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63,207,507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402,389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(401,441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949</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0"/>
        <w:jc w:val="center"/>
        <w:rPr>
          <w:rFonts w:ascii="Times New Roman;serif" w:hAnsi="Times New Roman;serif"/>
          <w:b/>
          <w:sz w:val="20"/>
        </w:rPr>
      </w:pPr>
      <w:r>
        <w:rPr>
          <w:rFonts w:ascii="Times New Roman;serif" w:hAnsi="Times New Roman;serif"/>
          <w:b/>
          <w:sz w:val="20"/>
        </w:rPr>
        <w:t>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70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w:t>
              <w:br/>
              <w:t>Ended December 31,</w:t>
            </w:r>
          </w:p>
        </w:tc>
        <w:tc>
          <w:tcPr>
            <w:tcW w:w="611" w:type="dxa"/>
            <w:tcBorders/>
            <w:shd w:fill="auto" w:val="clear"/>
            <w:vAlign w:val="center"/>
          </w:tcPr>
          <w:p>
            <w:pPr>
              <w:pStyle w:val="TableContents"/>
              <w:spacing w:before="0" w:after="0"/>
              <w:ind w:left="0" w:right="0" w:hanging="0"/>
              <w:jc w:val="center"/>
              <w:rPr/>
            </w:pPr>
            <w:r>
              <w:rPr/>
              <w:t> </w:t>
            </w:r>
          </w:p>
        </w:tc>
      </w:tr>
      <w:tr>
        <w:trPr/>
        <w:tc>
          <w:tcPr>
            <w:tcW w:w="70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(166,014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(174,523</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703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611" w:type="dxa"/>
            <w:tcBorders/>
            <w:shd w:fill="auto" w:val="clear"/>
            <w:vAlign w:val="center"/>
          </w:tcPr>
          <w:p>
            <w:pPr>
              <w:pStyle w:val="TableContents"/>
              <w:spacing w:before="0" w:after="0"/>
              <w:ind w:left="0" w:right="0" w:firstLine="200"/>
              <w:jc w:val="left"/>
              <w:rPr/>
            </w:pPr>
            <w:r>
              <w:rPr/>
              <w:t> </w:t>
            </w:r>
          </w:p>
        </w:tc>
      </w:tr>
      <w:tr>
        <w:trPr/>
        <w:tc>
          <w:tcPr>
            <w:tcW w:w="703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license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9,750</w:t>
            </w:r>
          </w:p>
        </w:tc>
        <w:tc>
          <w:tcPr>
            <w:tcW w:w="611" w:type="dxa"/>
            <w:tcBorders/>
            <w:shd w:fill="auto" w:val="clear"/>
            <w:vAlign w:val="center"/>
          </w:tcPr>
          <w:p>
            <w:pPr>
              <w:pStyle w:val="TableContents"/>
              <w:spacing w:before="0" w:after="0"/>
              <w:ind w:left="0" w:right="0" w:firstLine="200"/>
              <w:jc w:val="left"/>
              <w:rPr/>
            </w:pPr>
            <w:r>
              <w:rPr/>
              <w:t> </w:t>
            </w:r>
          </w:p>
        </w:tc>
      </w:tr>
      <w:tr>
        <w:trPr/>
        <w:tc>
          <w:tcPr>
            <w:tcW w:w="703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18,184</w:t>
            </w:r>
          </w:p>
        </w:tc>
        <w:tc>
          <w:tcPr>
            <w:tcW w:w="611" w:type="dxa"/>
            <w:tcBorders/>
            <w:shd w:fill="auto" w:val="clear"/>
            <w:vAlign w:val="center"/>
          </w:tcPr>
          <w:p>
            <w:pPr>
              <w:pStyle w:val="TableContents"/>
              <w:spacing w:before="0" w:after="0"/>
              <w:ind w:left="0" w:right="0" w:firstLine="200"/>
              <w:jc w:val="left"/>
              <w:rPr/>
            </w:pPr>
            <w:r>
              <w:rPr/>
              <w:t> </w:t>
            </w:r>
          </w:p>
        </w:tc>
      </w:tr>
      <w:tr>
        <w:trPr/>
        <w:tc>
          <w:tcPr>
            <w:tcW w:w="703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of long-lived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703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703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w:t>
            </w:r>
          </w:p>
        </w:tc>
        <w:tc>
          <w:tcPr>
            <w:tcW w:w="611" w:type="dxa"/>
            <w:tcBorders/>
            <w:shd w:fill="auto" w:val="clear"/>
            <w:vAlign w:val="center"/>
          </w:tcPr>
          <w:p>
            <w:pPr>
              <w:pStyle w:val="TableContents"/>
              <w:spacing w:before="0" w:after="0"/>
              <w:ind w:left="0" w:right="0" w:firstLine="200"/>
              <w:jc w:val="left"/>
              <w:rPr/>
            </w:pPr>
            <w:r>
              <w:rPr/>
              <w:t> </w:t>
            </w:r>
          </w:p>
        </w:tc>
      </w:tr>
      <w:tr>
        <w:trPr/>
        <w:tc>
          <w:tcPr>
            <w:tcW w:w="703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400"/>
              <w:jc w:val="left"/>
              <w:rPr/>
            </w:pPr>
            <w:r>
              <w:rPr/>
              <w:t> </w:t>
            </w:r>
          </w:p>
        </w:tc>
      </w:tr>
      <w:tr>
        <w:trPr/>
        <w:tc>
          <w:tcPr>
            <w:tcW w:w="703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(3,361</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14,494</w:t>
            </w:r>
          </w:p>
        </w:tc>
        <w:tc>
          <w:tcPr>
            <w:tcW w:w="611" w:type="dxa"/>
            <w:tcBorders/>
            <w:shd w:fill="auto" w:val="clear"/>
            <w:vAlign w:val="center"/>
          </w:tcPr>
          <w:p>
            <w:pPr>
              <w:pStyle w:val="TableContents"/>
              <w:spacing w:before="0" w:after="0"/>
              <w:ind w:left="0" w:right="0" w:firstLine="400"/>
              <w:jc w:val="left"/>
              <w:rPr/>
            </w:pPr>
            <w:r>
              <w:rPr/>
              <w:t> </w:t>
            </w:r>
          </w:p>
        </w:tc>
      </w:tr>
      <w:tr>
        <w:trPr/>
        <w:tc>
          <w:tcPr>
            <w:tcW w:w="703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17,542</w:t>
            </w:r>
          </w:p>
        </w:tc>
        <w:tc>
          <w:tcPr>
            <w:tcW w:w="611" w:type="dxa"/>
            <w:tcBorders/>
            <w:shd w:fill="auto" w:val="clear"/>
            <w:vAlign w:val="center"/>
          </w:tcPr>
          <w:p>
            <w:pPr>
              <w:pStyle w:val="TableContents"/>
              <w:spacing w:before="0" w:after="0"/>
              <w:ind w:left="0" w:right="0" w:firstLine="400"/>
              <w:jc w:val="left"/>
              <w:rPr/>
            </w:pPr>
            <w:r>
              <w:rPr/>
              <w:t> </w:t>
            </w:r>
          </w:p>
        </w:tc>
      </w:tr>
      <w:tr>
        <w:trPr/>
        <w:tc>
          <w:tcPr>
            <w:tcW w:w="703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400"/>
              <w:jc w:val="left"/>
              <w:rPr/>
            </w:pPr>
            <w:r>
              <w:rPr/>
              <w:t> </w:t>
            </w:r>
          </w:p>
        </w:tc>
      </w:tr>
      <w:tr>
        <w:trPr/>
        <w:tc>
          <w:tcPr>
            <w:tcW w:w="703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Due to related party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(117,042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research and development license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(6,250</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(15,304</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(21,554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Term Loan,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39,957</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public offering of common stock, net of sales commissions and other offering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to Astellas, net of offering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at-the-market offering, net of sales commissions and other offering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shelf registration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common stock issuances under ESPP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39,083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(61,223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(99,513</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cash equivalents and restricted cash at the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151,740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251,253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cash equivalents and restricted cash at the end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90,517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151,740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3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87,880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149,103</w:t>
            </w:r>
          </w:p>
        </w:tc>
        <w:tc>
          <w:tcPr>
            <w:tcW w:w="611" w:type="dxa"/>
            <w:tcBorders/>
            <w:shd w:fill="auto" w:val="clear"/>
            <w:vAlign w:val="center"/>
          </w:tcPr>
          <w:p>
            <w:pPr>
              <w:pStyle w:val="TableContents"/>
              <w:spacing w:before="0" w:after="0"/>
              <w:ind w:left="0" w:right="0" w:firstLine="400"/>
              <w:jc w:val="left"/>
              <w:rPr/>
            </w:pPr>
            <w:r>
              <w:rPr/>
              <w:t> </w:t>
            </w:r>
          </w:p>
        </w:tc>
      </w:tr>
      <w:tr>
        <w:trPr/>
        <w:tc>
          <w:tcPr>
            <w:tcW w:w="703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cash equivalents and restricted cash at the end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90,517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151,740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in 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8,282</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of property, plant and equipment funded by landlord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obtained in exchange for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Offering costs not yet paid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research and development license not yet paid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w:t>
            </w:r>
          </w:p>
        </w:tc>
        <w:tc>
          <w:tcPr>
            <w:tcW w:w="611" w:type="dxa"/>
            <w:tcBorders/>
            <w:shd w:fill="auto" w:val="clear"/>
            <w:vAlign w:val="center"/>
          </w:tcPr>
          <w:p>
            <w:pPr>
              <w:pStyle w:val="TableContents"/>
              <w:spacing w:before="0" w:after="0"/>
              <w:ind w:left="0" w:right="0" w:hanging="0"/>
              <w:jc w:val="left"/>
              <w:rPr/>
            </w:pPr>
            <w:r>
              <w:rPr/>
              <w:t> </w:t>
            </w:r>
          </w:p>
        </w:tc>
      </w:tr>
      <w:tr>
        <w:trPr/>
        <w:tc>
          <w:tcPr>
            <w:tcW w:w="70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Build-to-suit lease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26,250</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F-5</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0"/>
        <w:jc w:val="left"/>
        <w:rPr>
          <w:rFonts w:ascii="Times New Roman;serif" w:hAnsi="Times New Roman;serif"/>
          <w:b/>
          <w:sz w:val="20"/>
        </w:rPr>
      </w:pPr>
      <w:r>
        <w:rPr>
          <w:rFonts w:ascii="Times New Roman;serif" w:hAnsi="Times New Roman;serif"/>
          <w:b/>
          <w:sz w:val="20"/>
        </w:rPr>
        <w:t>Note 1—Organization and Description of Business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p>
    <w:p>
      <w:pPr>
        <w:pStyle w:val="TextBody"/>
        <w:spacing w:before="240" w:after="0"/>
        <w:jc w:val="left"/>
        <w:rPr>
          <w:rFonts w:ascii="Times New Roman" w:hAnsi="Times New Roman"/>
          <w:sz w:val="20"/>
        </w:rPr>
      </w:pPr>
      <w:r>
        <w:rPr>
          <w:rFonts w:ascii="Times New Roman;serif" w:hAnsi="Times New Roman;serif"/>
          <w:b w:val="false"/>
          <w:sz w:val="20"/>
        </w:rPr>
        <w:t>Taysha is a patient-centric gene therapy company focused on developing and commercializing AAV-based gene therapies for the treatment of monogenic diseases of the central nervous system in both rare and large patient populations.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Sales Agreement</w:t>
      </w:r>
    </w:p>
    <w:p>
      <w:pPr>
        <w:pStyle w:val="TextBody"/>
        <w:spacing w:before="120" w:after="0"/>
        <w:jc w:val="left"/>
        <w:rPr>
          <w:rFonts w:ascii="Times New Roman" w:hAnsi="Times New Roman"/>
          <w:sz w:val="20"/>
        </w:rPr>
      </w:pPr>
      <w:r>
        <w:rPr>
          <w:rFonts w:ascii="Times New Roman;serif" w:hAnsi="Times New Roman;serif"/>
          <w:b w:val="false"/>
          <w:sz w:val="20"/>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w:t>
      </w:r>
      <w:r>
        <w:rPr>
          <w:rFonts w:ascii="Times New Roman" w:hAnsi="Times New Roman"/>
          <w:sz w:val="20"/>
        </w:rPr>
        <w:t xml:space="preserve"> </w:t>
      </w:r>
      <w:r>
        <w:rPr>
          <w:rFonts w:ascii="Times New Roman;serif" w:hAnsi="Times New Roman;serif"/>
          <w:b w:val="false"/>
          <w:sz w:val="20"/>
        </w:rPr>
        <w:t>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w:t>
      </w:r>
      <w:r>
        <w:rPr>
          <w:rFonts w:ascii="Times New Roman" w:hAnsi="Times New Roman"/>
          <w:sz w:val="20"/>
        </w:rPr>
        <w:t xml:space="preserve"> </w:t>
      </w:r>
      <w:r>
        <w:rPr>
          <w:rFonts w:ascii="Times New Roman;serif" w:hAnsi="Times New Roman;serif"/>
          <w:b w:val="false"/>
          <w:sz w:val="20"/>
        </w:rPr>
        <w:t>shares of common stock under the Sales Agreement and received $11.6</w:t>
      </w:r>
      <w:r>
        <w:rPr>
          <w:rFonts w:ascii="Times New Roman" w:hAnsi="Times New Roman"/>
          <w:sz w:val="20"/>
        </w:rPr>
        <w:t xml:space="preserve"> </w:t>
      </w:r>
      <w:r>
        <w:rPr>
          <w:rFonts w:ascii="Times New Roman;serif" w:hAnsi="Times New Roman;serif"/>
          <w:b w:val="false"/>
          <w:sz w:val="20"/>
        </w:rPr>
        <w:t>million in net proceeds. No</w:t>
      </w:r>
      <w:r>
        <w:rPr>
          <w:rFonts w:ascii="Times New Roman" w:hAnsi="Times New Roman"/>
          <w:sz w:val="20"/>
        </w:rPr>
        <w:t xml:space="preserve"> </w:t>
      </w:r>
      <w:r>
        <w:rPr>
          <w:rFonts w:ascii="Times New Roman;serif" w:hAnsi="Times New Roman;serif"/>
          <w:b w:val="false"/>
          <w:sz w:val="20"/>
        </w:rPr>
        <w:t>other shares of common stock have been issued and sold pursuant to the Sales Agreement as of December 31, 2022.</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Liquidity and Going Concern</w:t>
      </w:r>
    </w:p>
    <w:p>
      <w:pPr>
        <w:pStyle w:val="TextBody"/>
        <w:spacing w:before="120" w:after="0"/>
        <w:jc w:val="left"/>
        <w:rPr>
          <w:rFonts w:ascii="Times New Roman" w:hAnsi="Times New Roman"/>
          <w:sz w:val="20"/>
        </w:rPr>
      </w:pPr>
      <w:r>
        <w:rPr>
          <w:rFonts w:ascii="Times New Roman;serif" w:hAnsi="Times New Roman;serif"/>
          <w:b w:val="false"/>
          <w:sz w:val="20"/>
        </w:rPr>
        <w:t>In October 2022, the Company entered into a securities purchase agreement (the “Securities Purchase Agreement”) and an option agreement (the “Option Agreement,” together with the Securities Purchase Agreement, the “Astellas Transactions”) with Audentes Therapeutics, Inc. (d/b/a Astellas Gene Therapy) (“Astellas”), pursuant to which the Company agreed to issue and sell 7,266,342</w:t>
      </w:r>
      <w:r>
        <w:rPr>
          <w:rFonts w:ascii="Times New Roman" w:hAnsi="Times New Roman"/>
          <w:sz w:val="20"/>
        </w:rPr>
        <w:t xml:space="preserve"> </w:t>
      </w:r>
      <w:r>
        <w:rPr>
          <w:rFonts w:ascii="Times New Roman;serif" w:hAnsi="Times New Roman;serif"/>
          <w:b w:val="false"/>
          <w:sz w:val="20"/>
        </w:rPr>
        <w:t>shares of its common stock for aggregate proceeds of $30.0</w:t>
      </w:r>
      <w:r>
        <w:rPr>
          <w:rFonts w:ascii="Times New Roman" w:hAnsi="Times New Roman"/>
          <w:sz w:val="20"/>
        </w:rPr>
        <w:t xml:space="preserve"> </w:t>
      </w:r>
      <w:r>
        <w:rPr>
          <w:rFonts w:ascii="Times New Roman;serif" w:hAnsi="Times New Roman;serif"/>
          <w:b w:val="false"/>
          <w:sz w:val="20"/>
        </w:rPr>
        <w:t>million and received a one-time payment in the amount of $20.0</w:t>
      </w:r>
      <w:r>
        <w:rPr>
          <w:rFonts w:ascii="Times New Roman" w:hAnsi="Times New Roman"/>
          <w:sz w:val="20"/>
        </w:rPr>
        <w:t xml:space="preserve"> </w:t>
      </w:r>
      <w:r>
        <w:rPr>
          <w:rFonts w:ascii="Times New Roman;serif" w:hAnsi="Times New Roman;serif"/>
          <w:b w:val="false"/>
          <w:sz w:val="20"/>
        </w:rPr>
        <w:t>million (the “Upfront Payment”), respectively, for total gross proceeds of $50.0</w:t>
      </w:r>
      <w:r>
        <w:rPr>
          <w:rFonts w:ascii="Times New Roman" w:hAnsi="Times New Roman"/>
          <w:sz w:val="20"/>
        </w:rPr>
        <w:t xml:space="preserve"> </w:t>
      </w:r>
      <w:r>
        <w:rPr>
          <w:rFonts w:ascii="Times New Roman;serif" w:hAnsi="Times New Roman;serif"/>
          <w:b w:val="false"/>
          <w:sz w:val="20"/>
        </w:rPr>
        <w:t xml:space="preserve">million. See Note 6 for additional information. </w:t>
        <w:br/>
      </w:r>
      <w:r>
        <w:rPr>
          <w:rFonts w:ascii="Times New Roman" w:hAnsi="Times New Roman"/>
          <w:sz w:val="20"/>
        </w:rPr>
        <w:t> </w:t>
      </w:r>
    </w:p>
    <w:p>
      <w:pPr>
        <w:pStyle w:val="TextBody"/>
        <w:spacing w:before="240" w:after="0"/>
        <w:jc w:val="left"/>
        <w:rPr>
          <w:rFonts w:ascii="Times New Roman" w:hAnsi="Times New Roman"/>
          <w:sz w:val="20"/>
        </w:rPr>
      </w:pPr>
      <w:r>
        <w:rPr>
          <w:rFonts w:ascii="Times New Roman;serif" w:hAnsi="Times New Roman;serif"/>
          <w:b w:val="false"/>
          <w:sz w:val="20"/>
        </w:rPr>
        <w:t>Also in October 2022, the Company entered into an underwriting agreement (the “Underwriting Agreement”) with Goldman Sachs &amp; Co. LLC (the "Underwriter”) to issue and sell 14,000,000</w:t>
      </w:r>
      <w:r>
        <w:rPr>
          <w:rFonts w:ascii="Times New Roman" w:hAnsi="Times New Roman"/>
          <w:sz w:val="20"/>
        </w:rPr>
        <w:t xml:space="preserve"> </w:t>
      </w:r>
      <w:r>
        <w:rPr>
          <w:rFonts w:ascii="Times New Roman;serif" w:hAnsi="Times New Roman;serif"/>
          <w:b w:val="false"/>
          <w:sz w:val="20"/>
        </w:rPr>
        <w:t>shares of common stock at a price to the public of $2.00</w:t>
      </w:r>
      <w:r>
        <w:rPr>
          <w:rFonts w:ascii="Times New Roman" w:hAnsi="Times New Roman"/>
          <w:sz w:val="20"/>
        </w:rPr>
        <w:t xml:space="preserve"> </w:t>
      </w:r>
      <w:r>
        <w:rPr>
          <w:rFonts w:ascii="Times New Roman;serif" w:hAnsi="Times New Roman;serif"/>
          <w:b w:val="false"/>
          <w:sz w:val="20"/>
        </w:rPr>
        <w:t>per share. The Underwriter exercised its option to purchase an additional 765,226</w:t>
      </w:r>
      <w:r>
        <w:rPr>
          <w:rFonts w:ascii="Times New Roman" w:hAnsi="Times New Roman"/>
          <w:sz w:val="20"/>
        </w:rPr>
        <w:t xml:space="preserve"> </w:t>
      </w:r>
      <w:r>
        <w:rPr>
          <w:rFonts w:ascii="Times New Roman;serif" w:hAnsi="Times New Roman;serif"/>
          <w:b w:val="false"/>
          <w:sz w:val="20"/>
        </w:rPr>
        <w:t>shares of the Company’s common stock at a price of $1.88</w:t>
      </w:r>
      <w:r>
        <w:rPr>
          <w:rFonts w:ascii="Times New Roman" w:hAnsi="Times New Roman"/>
          <w:sz w:val="20"/>
        </w:rPr>
        <w:t xml:space="preserve"> </w:t>
      </w:r>
      <w:r>
        <w:rPr>
          <w:rFonts w:ascii="Times New Roman;serif" w:hAnsi="Times New Roman;serif"/>
          <w:b w:val="false"/>
          <w:sz w:val="20"/>
        </w:rPr>
        <w:t>per share. The net proceeds from the offering were $27.7</w:t>
      </w:r>
      <w:r>
        <w:rPr>
          <w:rFonts w:ascii="Times New Roman" w:hAnsi="Times New Roman"/>
          <w:sz w:val="20"/>
        </w:rPr>
        <w:t xml:space="preserve"> </w:t>
      </w:r>
      <w:r>
        <w:rPr>
          <w:rFonts w:ascii="Times New Roman;serif" w:hAnsi="Times New Roman;serif"/>
          <w:b w:val="false"/>
          <w:sz w:val="20"/>
        </w:rPr>
        <w:t>million, after deducting underwriting discounts and other offering expenses.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accompanying consolidated financial statements are prepared in accordance with generally accepted accounting principles applicable to a going concern, which contemplates the realization of assets and the satisfaction of liabilities in the normal course of business.</w:t>
      </w:r>
    </w:p>
    <w:p>
      <w:pPr>
        <w:pStyle w:val="TextBody"/>
        <w:spacing w:before="240" w:after="0"/>
        <w:jc w:val="left"/>
        <w:rPr>
          <w:rFonts w:ascii="Times New Roman" w:hAnsi="Times New Roman"/>
          <w:sz w:val="20"/>
        </w:rPr>
      </w:pPr>
      <w:r>
        <w:rPr>
          <w:rFonts w:ascii="Times New Roman;serif" w:hAnsi="Times New Roman;serif"/>
          <w:b w:val="false"/>
          <w:sz w:val="20"/>
        </w:rPr>
        <w:t>The Company has incurred operating losses since Inception and expects to continue to incur significant operating losses for the foreseeable future and may never become profitable. As of December 31, 2022, the Company had an accumulated deficit of $401.4</w:t>
      </w:r>
      <w:r>
        <w:rPr>
          <w:rFonts w:ascii="Times New Roman" w:hAnsi="Times New Roman"/>
          <w:sz w:val="20"/>
        </w:rPr>
        <w:t xml:space="preserve"> </w:t>
      </w:r>
      <w:r>
        <w:rPr>
          <w:rFonts w:ascii="Times New Roman;serif" w:hAnsi="Times New Roman;serif"/>
          <w:b w:val="false"/>
          <w:sz w:val="20"/>
        </w:rPr>
        <w:t>million and cash and cash equivalents of $87.9</w:t>
      </w:r>
      <w:r>
        <w:rPr>
          <w:rFonts w:ascii="Times New Roman" w:hAnsi="Times New Roman"/>
          <w:sz w:val="20"/>
        </w:rPr>
        <w:t xml:space="preserve"> </w:t>
      </w:r>
      <w:r>
        <w:rPr>
          <w:rFonts w:ascii="Times New Roman;serif" w:hAnsi="Times New Roman;serif"/>
          <w:b w:val="false"/>
          <w:sz w:val="20"/>
        </w:rPr>
        <w:t>million. Losses are expected to continue as the Company continues to invest in its research and development activities. Management believes that there is presently insufficient funding available to allow the Company to fund its currently planned research and discovery programs for a period exceeding one year from the date of this filing with the Securities and Exchange Commission ("SEC"). These conditions and events raise substantial doubt about the Company’s ability to continue as a going concern.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response to these conditions and to meet the Company’s capital requirements, management plans to use its current cash on hand and some combination of the following: (i) dilutive and/or non-dilutive financings, (ii) out-licensing or strategic alliances/collaborations, and (iii) out-licensing or sale of its non-core assets. If the Company raises additional funds through collaborations, strategic alliances, business development or licensing arrangements with third parties, the Company might have to relinquish valuable rights to its technologies, future revenue streams, research programs or product candidates. However, these plans have not yet been finalized and are not within the Company’s control, and therefore cannot be deemed probable. As a result, the Company has concluded that management’s plans do not alleviate substantial doubt about the Company’s ability to continue as a going concern.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F-6</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360" w:after="0"/>
        <w:jc w:val="left"/>
        <w:rPr>
          <w:rFonts w:ascii="Times New Roman;serif" w:hAnsi="Times New Roman;serif"/>
          <w:b/>
          <w:sz w:val="20"/>
        </w:rPr>
      </w:pPr>
      <w:r>
        <w:rPr>
          <w:rFonts w:ascii="Times New Roman;serif" w:hAnsi="Times New Roman;serif"/>
          <w:b/>
          <w:sz w:val="20"/>
        </w:rPr>
        <w:t>Note 2—Significant Accounting Policies</w:t>
      </w:r>
    </w:p>
    <w:p>
      <w:pPr>
        <w:pStyle w:val="TextBody"/>
        <w:spacing w:before="120" w:after="0"/>
        <w:jc w:val="left"/>
        <w:rPr>
          <w:rFonts w:ascii="Times New Roman;serif" w:hAnsi="Times New Roman;serif"/>
          <w:b/>
          <w:sz w:val="20"/>
        </w:rPr>
      </w:pPr>
      <w:r>
        <w:rPr>
          <w:rFonts w:ascii="Times New Roman;serif" w:hAnsi="Times New Roman;serif"/>
          <w:b/>
          <w:sz w:val="20"/>
        </w:rPr>
        <w:t>Basis of Presentation</w:t>
      </w:r>
    </w:p>
    <w:p>
      <w:pPr>
        <w:pStyle w:val="TextBody"/>
        <w:spacing w:before="120" w:after="0"/>
        <w:jc w:val="left"/>
        <w:rPr>
          <w:rFonts w:ascii="Times New Roman" w:hAnsi="Times New Roman"/>
          <w:sz w:val="20"/>
        </w:rPr>
      </w:pPr>
      <w:r>
        <w:rPr>
          <w:rFonts w:ascii="Times New Roman;serif" w:hAnsi="Times New Roman;serif"/>
          <w:b w:val="false"/>
          <w:sz w:val="20"/>
        </w:rPr>
        <w:t>The Company’s financial statements have been prepared in conformity with accounting principles generally accepted in the United States of America (“U.S. GAAP”) as determined by the Financial Accounting Standards Board (“FASB”) Accounting Standards Codification (“ASC”) and include all adjustments necessary for the fair presentation of the Company’s financial position for the periods presented.</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Principles of Consolidation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consolidated financial statements include the accounts of Taysha and its wholly owned subsidiaries. All intercompany transactions and balances have been eliminated in consolidation.</w:t>
      </w:r>
    </w:p>
    <w:p>
      <w:pPr>
        <w:pStyle w:val="TextBody"/>
        <w:spacing w:before="360" w:after="0"/>
        <w:jc w:val="left"/>
        <w:rPr>
          <w:rFonts w:ascii="Times New Roman;serif" w:hAnsi="Times New Roman;serif"/>
          <w:b/>
          <w:i/>
          <w:sz w:val="20"/>
        </w:rPr>
      </w:pPr>
      <w:r>
        <w:rPr>
          <w:rFonts w:ascii="Times New Roman;serif" w:hAnsi="Times New Roman;serif"/>
          <w:b/>
          <w:i/>
          <w:sz w:val="20"/>
        </w:rPr>
        <w:t>Emerging Growth Company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statements upon adoption. Under the Jumpstart Our Business Startups Act of 2012, as amended,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pStyle w:val="TextBody"/>
        <w:spacing w:before="360" w:after="0"/>
        <w:jc w:val="left"/>
        <w:rPr>
          <w:rFonts w:ascii="Times New Roman;serif" w:hAnsi="Times New Roman;serif"/>
          <w:b/>
          <w:i/>
          <w:sz w:val="20"/>
        </w:rPr>
      </w:pPr>
      <w:r>
        <w:rPr>
          <w:rFonts w:ascii="Times New Roman;serif" w:hAnsi="Times New Roman;serif"/>
          <w:b/>
          <w:i/>
          <w:sz w:val="20"/>
        </w:rPr>
        <w:t>Use of Estimates</w:t>
      </w:r>
    </w:p>
    <w:p>
      <w:pPr>
        <w:pStyle w:val="TextBody"/>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IPO (as an input into stock-based compensation), estimating manufacturing accruals and accrued or prepaid research and development expenses, the measurement of impairment of long-lived assets, and the allocation of consideration received in connection with the Astellas Transactions.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Risks and Uncertainties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pStyle w:val="TextBody"/>
        <w:spacing w:before="360" w:after="0"/>
        <w:jc w:val="left"/>
        <w:rPr>
          <w:rFonts w:ascii="Times New Roman;serif" w:hAnsi="Times New Roman;serif"/>
          <w:b/>
          <w:i/>
          <w:sz w:val="20"/>
        </w:rPr>
      </w:pPr>
      <w:r>
        <w:rPr>
          <w:rFonts w:ascii="Times New Roman;serif" w:hAnsi="Times New Roman;serif"/>
          <w:b/>
          <w:i/>
          <w:sz w:val="20"/>
        </w:rPr>
        <w:t>Segments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as a single operating segment, which is the business of developing AAV-based gene therapies for the treatment of rare monogenic diseases of the central nervous system.</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December 31, 2022 and 2021, the Company did not have any significant long-lived assets located outside of the United States.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F-7</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360" w:after="0"/>
        <w:jc w:val="left"/>
        <w:rPr>
          <w:rFonts w:ascii="Times New Roman;serif" w:hAnsi="Times New Roman;serif"/>
          <w:b/>
          <w:i/>
          <w:sz w:val="20"/>
        </w:rPr>
      </w:pPr>
      <w:r>
        <w:rPr>
          <w:rFonts w:ascii="Times New Roman;serif" w:hAnsi="Times New Roman;serif"/>
          <w:b/>
          <w:i/>
          <w:sz w:val="20"/>
        </w:rPr>
        <w:t>Revenue Recognition</w:t>
      </w:r>
    </w:p>
    <w:p>
      <w:pPr>
        <w:pStyle w:val="TextBody"/>
        <w:spacing w:before="120" w:after="0"/>
        <w:jc w:val="left"/>
        <w:rPr>
          <w:rFonts w:ascii="Times New Roman" w:hAnsi="Times New Roman"/>
          <w:sz w:val="20"/>
        </w:rPr>
      </w:pPr>
      <w:r>
        <w:rPr>
          <w:rFonts w:ascii="Times New Roman;serif" w:hAnsi="Times New Roman;serif"/>
          <w:b w:val="false"/>
          <w:sz w:val="20"/>
        </w:rPr>
        <w:t>The Company recognizes revenue in accordance with ASC 606, Revenue from Contracts with Customers. Revenues consist of activities in connection with the Astellas Transactions, including the exclusive option to license intellectual property and the performance of research and development activities. See Note 6 for additional information.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evaluates the agreement to determine if the other party is a customer, and then determines the units of account within the agreement to determine which promised goods or services are distinct. In order for a promised good or service to be considered "distinct” under ASC 606,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pStyle w:val="TextBody"/>
        <w:spacing w:before="240" w:after="0"/>
        <w:jc w:val="left"/>
        <w:rPr>
          <w:rFonts w:ascii="Times New Roman" w:hAnsi="Times New Roman"/>
          <w:sz w:val="20"/>
        </w:rPr>
      </w:pPr>
      <w:r>
        <w:rPr>
          <w:rFonts w:ascii="Times New Roman;serif" w:hAnsi="Times New Roman;serif"/>
          <w:b w:val="false"/>
          <w:sz w:val="20"/>
        </w:rPr>
        <w:t>For any units of account, that fall within the scope of ASC 606, where the other party is a customer, the Company (i) evaluates the separate performance obligation(s) under each contract, (ii) determines the transaction price, (iii) allocates the transaction price to each performance obligation considering the estimated standalone selling prices of the services and (iv) recognizes revenue when, or as, the Company satisfies the performance obligation(s).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At the inception of an arrangement that includes options for a customer to purchase additional services or products at agreed upon prices in the future, the Company evaluates whether each option provides a material right. An option that provides a material right will be accounted for as a separate performance obligation.</w:t>
      </w:r>
    </w:p>
    <w:p>
      <w:pPr>
        <w:pStyle w:val="TextBody"/>
        <w:spacing w:before="240" w:after="0"/>
        <w:jc w:val="left"/>
        <w:rPr>
          <w:rFonts w:ascii="Times New Roman" w:hAnsi="Times New Roman"/>
          <w:sz w:val="20"/>
        </w:rPr>
      </w:pPr>
      <w:r>
        <w:rPr>
          <w:rFonts w:ascii="Times New Roman;serif" w:hAnsi="Times New Roman;serif"/>
          <w:b w:val="false"/>
          <w:sz w:val="20"/>
        </w:rPr>
        <w:t>As part of the accounting for arrangements under ASC 606, the Company must use significant judgment to determine the performance obligations, the transaction price, and the standalone selling price (“SSP”) for each performance obligation identified in the contract for the allocation of the transaction price. The SSP is the price at which an entity would sell a promised good or service separately to a customer. Management estimates the SSP of each of the identified performance obligations, maximizing the use of observable inputs. Because the Company has not sold the same goods or services in its contracts separately to any customers on a standalone basis, the Company utilizes similar observable transactions in the marketplace or estimates the SSP of each performance obligation in its customer arrangements at contract inception based on either (1) its estimate of costs to be incurred to fulfill its obligations associated with the performance obligation, plus a reasonable margin, or (2) an estimate that reflects the discount that the customer would obtain when exercising its option adjusted for (i) any discount that the customer could receive without exercising the option and (ii) the likelihood that the option will be exercised. The Company allocates the transaction price to each performance obligation in proportion to its SSP.</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performance obligation is satisfied and revenue is recognized when “control” of the promised good or service is transferred, either over time or at a point in time, to the customer. A customer obtains control of a good or service if it has the ability to (1) direct its use and (2) obtain substantially all of the remaining benefits from it.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Amounts received prior to satisfying the revenue recognition criteria listed above are recorded as deferred revenue in the accompanying consolidated balance sheets. Amounts expected to be recognized as revenue within 12 months of the balance sheet date are classified as current deferred revenue. Amounts not expected to be recognized as revenue within the following 12 months of the balance sheet date are classified as deferred revenue, net of current portion. The Company does not incur commission or other costs to fulfill customer contracts and as such, no capitalized contract costs are recorded on the consolidated balance sheets.</w:t>
      </w:r>
    </w:p>
    <w:p>
      <w:pPr>
        <w:pStyle w:val="TextBody"/>
        <w:spacing w:before="360" w:after="0"/>
        <w:jc w:val="left"/>
        <w:rPr>
          <w:rFonts w:ascii="Times New Roman;serif" w:hAnsi="Times New Roman;serif"/>
          <w:b/>
          <w:i/>
          <w:sz w:val="20"/>
        </w:rPr>
      </w:pPr>
      <w:r>
        <w:rPr>
          <w:rFonts w:ascii="Times New Roman;serif" w:hAnsi="Times New Roman;serif"/>
          <w:b/>
          <w:i/>
          <w:sz w:val="20"/>
        </w:rPr>
        <w:t>Cash and Cash Equivalents</w:t>
      </w:r>
    </w:p>
    <w:p>
      <w:pPr>
        <w:pStyle w:val="TextBody"/>
        <w:spacing w:before="120" w:after="0"/>
        <w:jc w:val="left"/>
        <w:rPr>
          <w:rFonts w:ascii="Times New Roman" w:hAnsi="Times New Roman"/>
          <w:sz w:val="20"/>
        </w:rPr>
      </w:pPr>
      <w:r>
        <w:rPr>
          <w:rFonts w:ascii="Times New Roman;serif" w:hAnsi="Times New Roman;serif"/>
          <w:b w:val="false"/>
          <w:sz w:val="20"/>
        </w:rPr>
        <w:t>Cash and cash equivalents consist of funds held in a standard checking account and standard savings account. The Company considers all highly liquid investments with an original maturity of three months or less at the date of purchase to be cash equivalents. As of December 31, 2022 and 2021, respectively, the Company had no</w:t>
      </w:r>
      <w:r>
        <w:rPr>
          <w:rFonts w:ascii="Times New Roman" w:hAnsi="Times New Roman"/>
          <w:sz w:val="20"/>
        </w:rPr>
        <w:t xml:space="preserve"> </w:t>
      </w:r>
      <w:r>
        <w:rPr>
          <w:rFonts w:ascii="Times New Roman;serif" w:hAnsi="Times New Roman;serif"/>
          <w:b w:val="false"/>
          <w:sz w:val="20"/>
        </w:rPr>
        <w:t>cash equivalents.</w:t>
      </w:r>
    </w:p>
    <w:p>
      <w:pPr>
        <w:pStyle w:val="TextBody"/>
        <w:spacing w:before="360" w:after="0"/>
        <w:jc w:val="left"/>
        <w:rPr>
          <w:rFonts w:ascii="Times New Roman;serif" w:hAnsi="Times New Roman;serif"/>
          <w:b/>
          <w:i/>
          <w:sz w:val="20"/>
        </w:rPr>
      </w:pPr>
      <w:r>
        <w:rPr>
          <w:rFonts w:ascii="Times New Roman;serif" w:hAnsi="Times New Roman;serif"/>
          <w:b/>
          <w:i/>
          <w:sz w:val="20"/>
        </w:rPr>
        <w:t>Restricted Cash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Restricted cash consists of cash that the Company has placed in an escrow account which is pledged as collateral under certain lease agreements and letters of credit.</w:t>
      </w:r>
    </w:p>
    <w:p>
      <w:pPr>
        <w:pStyle w:val="TextBody"/>
        <w:spacing w:before="360" w:after="0"/>
        <w:jc w:val="left"/>
        <w:rPr>
          <w:rFonts w:ascii="Times New Roman;serif" w:hAnsi="Times New Roman;serif"/>
          <w:b/>
          <w:i/>
          <w:sz w:val="20"/>
        </w:rPr>
      </w:pPr>
      <w:r>
        <w:rPr>
          <w:rFonts w:ascii="Times New Roman;serif" w:hAnsi="Times New Roman;serif"/>
          <w:b/>
          <w:i/>
          <w:sz w:val="20"/>
        </w:rPr>
        <w:t>Concentrations of Credit Risk</w:t>
      </w:r>
    </w:p>
    <w:p>
      <w:pPr>
        <w:pStyle w:val="TextBody"/>
        <w:spacing w:before="120" w:after="0"/>
        <w:jc w:val="left"/>
        <w:rPr>
          <w:rFonts w:ascii="Times New Roman" w:hAnsi="Times New Roman"/>
          <w:sz w:val="20"/>
        </w:rPr>
      </w:pPr>
      <w:r>
        <w:rPr>
          <w:rFonts w:ascii="Times New Roman;serif" w:hAnsi="Times New Roman;serif"/>
          <w:b w:val="false"/>
          <w:sz w:val="20"/>
        </w:rPr>
        <w:t>Financial instruments that potentially subject the Company to significant concentration of credit risk consist primarily of cash and cash equivalents. Periodically, the Company may maintain deposits in financial institutions in excess of government insured limits. On March 10, 2023, the California Department of Financial Protection and Innovation closed the Silicon Valley Bank, Santa Clara, California (“SVB”), and appointed the FDIC as receiver. On March 12, 2023, the Treasury Department announced that depositors of SVB will have access to all of their money starting March 13, 2023. On March 14, 2023, the Company regained access to the full amount of its cash that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F-8</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was deposited with SVB. Management believes that the Company is not exposed to significant credit risk as the Company’s deposits are held at financial institutions that management continues to believe to be of high credit quality. The Company has not experienced any losses on these deposits.</w:t>
      </w:r>
    </w:p>
    <w:p>
      <w:pPr>
        <w:pStyle w:val="TextBody"/>
        <w:spacing w:before="360" w:after="0"/>
        <w:jc w:val="left"/>
        <w:rPr>
          <w:rFonts w:ascii="Times New Roman;serif" w:hAnsi="Times New Roman;serif"/>
          <w:b/>
          <w:i/>
          <w:sz w:val="20"/>
        </w:rPr>
      </w:pPr>
      <w:r>
        <w:rPr>
          <w:rFonts w:ascii="Times New Roman;serif" w:hAnsi="Times New Roman;serif"/>
          <w:b/>
          <w:i/>
          <w:sz w:val="20"/>
        </w:rPr>
        <w:t>Fair Value of Financial Instruments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financial assets and liabilities are accounted for in accordance with ASC 820, Fair Value Measurements and Disclosures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1—Observable inputs, such as quoted prices in active markets for identical assets or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3—Unobservable inputs in which there is little or no market data, which require the reporting entity to develop its own assumptions.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carrying values reported in the Company’s consolidated balance sheets for cash and cash equivalents, prepaid expenses and other current assets, accounts payable, accrued expenses and other current liabilities are reasonable estimates of their fair values due to the short-term nature of these items.</w:t>
      </w:r>
    </w:p>
    <w:p>
      <w:pPr>
        <w:pStyle w:val="TextBody"/>
        <w:spacing w:before="360" w:after="0"/>
        <w:jc w:val="left"/>
        <w:rPr>
          <w:rFonts w:ascii="Times New Roman;serif" w:hAnsi="Times New Roman;serif"/>
          <w:b/>
          <w:i/>
          <w:sz w:val="20"/>
        </w:rPr>
      </w:pPr>
      <w:r>
        <w:rPr>
          <w:rFonts w:ascii="Times New Roman;serif" w:hAnsi="Times New Roman;serif"/>
          <w:b/>
          <w:i/>
          <w:sz w:val="20"/>
        </w:rPr>
        <w:t>Deferred Offering Costs</w:t>
      </w:r>
    </w:p>
    <w:p>
      <w:pPr>
        <w:pStyle w:val="TextBody"/>
        <w:spacing w:before="120" w:after="0"/>
        <w:jc w:val="left"/>
        <w:rPr>
          <w:rFonts w:ascii="Times New Roman" w:hAnsi="Times New Roman"/>
          <w:sz w:val="20"/>
        </w:rPr>
      </w:pPr>
      <w:r>
        <w:rPr>
          <w:rFonts w:ascii="Times New Roman;serif" w:hAnsi="Times New Roman;serif"/>
          <w:b w:val="false"/>
          <w:sz w:val="20"/>
        </w:rPr>
        <w:t>The Company capitalizes costs directly associated with equity financings until such financings are consummated, at which time such costs are recorded in additional paid-in capital against the gross proceeds of the equity financings. Costs associated with the shelf registration statement on Form S-3, filed with the SEC on October 5, 2021 have been capitalized and will be reclassified to additional paid-in capital on a pro rata basis when the Company completes offerings under the shelf registration. At the end of the three-year</w:t>
      </w:r>
      <w:r>
        <w:rPr>
          <w:rFonts w:ascii="Times New Roman" w:hAnsi="Times New Roman"/>
          <w:sz w:val="20"/>
        </w:rPr>
        <w:t xml:space="preserve"> </w:t>
      </w:r>
      <w:r>
        <w:rPr>
          <w:rFonts w:ascii="Times New Roman;serif" w:hAnsi="Times New Roman;serif"/>
          <w:b w:val="false"/>
          <w:sz w:val="20"/>
        </w:rPr>
        <w:t>term of the shelf registration, the remaining deferred offering costs, if any, will be charged to operations.</w:t>
      </w:r>
    </w:p>
    <w:p>
      <w:pPr>
        <w:pStyle w:val="TextBody"/>
        <w:spacing w:before="360" w:after="0"/>
        <w:jc w:val="left"/>
        <w:rPr>
          <w:rFonts w:ascii="Times New Roman;serif" w:hAnsi="Times New Roman;serif"/>
          <w:b/>
          <w:i/>
          <w:sz w:val="20"/>
        </w:rPr>
      </w:pPr>
      <w:r>
        <w:rPr>
          <w:rFonts w:ascii="Times New Roman;serif" w:hAnsi="Times New Roman;serif"/>
          <w:b/>
          <w:i/>
          <w:sz w:val="20"/>
        </w:rPr>
        <w:t>Property, Plant and Equipment, net</w:t>
      </w:r>
    </w:p>
    <w:p>
      <w:pPr>
        <w:pStyle w:val="TextBody"/>
        <w:spacing w:before="120" w:after="0"/>
        <w:jc w:val="left"/>
        <w:rPr>
          <w:rFonts w:ascii="Times New Roman" w:hAnsi="Times New Roman"/>
          <w:sz w:val="20"/>
        </w:rPr>
      </w:pPr>
      <w:r>
        <w:rPr>
          <w:rFonts w:ascii="Times New Roman;serif" w:hAnsi="Times New Roman;serif"/>
          <w:b w:val="false"/>
          <w:sz w:val="20"/>
        </w:rPr>
        <w:t>Property, plant and equipment, net are stated at cost less accumulated depreciation and consist of computer equipment, laboratory equipment and leasehold improvements. Directly identifiable payroll and payroll-related costs incurred in connection with the build-out of the Company’s cGMP manufacturing facility were capitalized into the cost basis of the asset to the extent that such costs had been incurred to bring the asset to the condition and location for its intended use. Depreciation expense is recognized using the straight-line method over its estimated useful life of three</w:t>
      </w:r>
      <w:r>
        <w:rPr>
          <w:rFonts w:ascii="Times New Roman" w:hAnsi="Times New Roman"/>
          <w:sz w:val="20"/>
        </w:rPr>
        <w:t xml:space="preserve"> </w:t>
      </w:r>
      <w:r>
        <w:rPr>
          <w:rFonts w:ascii="Times New Roman;serif" w:hAnsi="Times New Roman;serif"/>
          <w:b w:val="false"/>
          <w:sz w:val="20"/>
        </w:rPr>
        <w:t>to seven years.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pStyle w:val="TextBody"/>
        <w:spacing w:before="360" w:after="0"/>
        <w:jc w:val="left"/>
        <w:rPr>
          <w:rFonts w:ascii="Times New Roman;serif" w:hAnsi="Times New Roman;serif"/>
          <w:b/>
          <w:i/>
          <w:sz w:val="20"/>
        </w:rPr>
      </w:pPr>
      <w:r>
        <w:rPr>
          <w:rFonts w:ascii="Times New Roman;serif" w:hAnsi="Times New Roman;serif"/>
          <w:b/>
          <w:i/>
          <w:sz w:val="20"/>
        </w:rPr>
        <w:t>Leases</w:t>
      </w:r>
    </w:p>
    <w:p>
      <w:pPr>
        <w:pStyle w:val="TextBody"/>
        <w:spacing w:before="120" w:after="0"/>
        <w:jc w:val="left"/>
        <w:rPr>
          <w:rFonts w:ascii="Times New Roman" w:hAnsi="Times New Roman"/>
          <w:sz w:val="20"/>
        </w:rPr>
      </w:pPr>
      <w:r>
        <w:rPr>
          <w:rFonts w:ascii="Times New Roman;serif" w:hAnsi="Times New Roman;serif"/>
          <w:b w:val="false"/>
          <w:sz w:val="20"/>
        </w:rPr>
        <w:t xml:space="preserve">Effective January 1, 2022, the Company adopted ASC 842, </w:t>
      </w:r>
      <w:r>
        <w:rPr>
          <w:rFonts w:ascii="Times New Roman;serif" w:hAnsi="Times New Roman;serif"/>
          <w:b w:val="false"/>
          <w:i/>
          <w:sz w:val="20"/>
        </w:rPr>
        <w:t xml:space="preserve">Leases </w:t>
      </w:r>
      <w:r>
        <w:rPr>
          <w:rFonts w:ascii="Times New Roman;serif" w:hAnsi="Times New Roman;serif"/>
          <w:b w:val="false"/>
          <w:sz w:val="20"/>
        </w:rPr>
        <w:t xml:space="preserve">using the modified retrospective approach and utilizing the effective dates as its date of initial application. As a result, prior periods are presented in accordance with the previous guidance in ASC 840, </w:t>
      </w:r>
      <w:r>
        <w:rPr>
          <w:rFonts w:ascii="Times New Roman;serif" w:hAnsi="Times New Roman;serif"/>
          <w:b w:val="false"/>
          <w:i/>
          <w:sz w:val="20"/>
        </w:rPr>
        <w:t>Leases</w:t>
      </w:r>
      <w:r>
        <w:rPr>
          <w:rFonts w:ascii="Times New Roman;serif" w:hAnsi="Times New Roman;serif"/>
          <w:b w:val="false"/>
          <w:sz w:val="20"/>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At the inception of an arrangement, the Company determines whether the arrangement is or contains a lease based on the unique facts and circumstances present in the arrangement. Leases with a term greater than one year are recognized on the balance sheet as right-of-use assets and short-term and long-term lease liabilities, as applicable.</w:t>
      </w:r>
    </w:p>
    <w:p>
      <w:pPr>
        <w:pStyle w:val="TextBody"/>
        <w:spacing w:before="240" w:after="0"/>
        <w:jc w:val="left"/>
        <w:rPr>
          <w:rFonts w:ascii="Times New Roman" w:hAnsi="Times New Roman"/>
          <w:sz w:val="20"/>
        </w:rPr>
      </w:pPr>
      <w:r>
        <w:rPr>
          <w:rFonts w:ascii="Times New Roman;serif" w:hAnsi="Times New Roman;serif"/>
          <w:b w:val="false"/>
          <w:sz w:val="20"/>
        </w:rPr>
        <w:t>Operating lease liabilities and their corresponding right-of-use assets are initially recorded based on the present value of lease payments over the expected remaining lease term. Certain adjustments to the right-of-use asset may be required for items such as incentives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F-9</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To estimate its incremental borrowing rate, a credit rating applicable to the Company is estimated using a synthetic credit rating analysis since the Company does not currently have a rating agency-based credit rating.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has elected not to recognize leases with an original term of one year or less on the balance sheet. The Company typically only includes an initial lease term in its assessment of a lease arrangement. Options to renew a lease are not included in the Company’s assessment unless there is reasonable certainty that the Company will renew. 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has elected to account for lease and non-lease components together as a single lease component for all underlying assets.</w:t>
      </w:r>
    </w:p>
    <w:p>
      <w:pPr>
        <w:pStyle w:val="TextBody"/>
        <w:spacing w:before="360" w:after="0"/>
        <w:jc w:val="left"/>
        <w:rPr>
          <w:rFonts w:ascii="Times New Roman;serif" w:hAnsi="Times New Roman;serif"/>
          <w:b/>
          <w:i/>
          <w:sz w:val="20"/>
        </w:rPr>
      </w:pPr>
      <w:r>
        <w:rPr>
          <w:rFonts w:ascii="Times New Roman;serif" w:hAnsi="Times New Roman;serif"/>
          <w:b/>
          <w:i/>
          <w:sz w:val="20"/>
        </w:rPr>
        <w:t>Build-to-Suit Lease</w:t>
      </w:r>
    </w:p>
    <w:p>
      <w:pPr>
        <w:pStyle w:val="TextBody"/>
        <w:spacing w:before="120" w:after="0"/>
        <w:jc w:val="left"/>
        <w:rPr>
          <w:rFonts w:ascii="Times New Roman" w:hAnsi="Times New Roman"/>
          <w:sz w:val="20"/>
        </w:rPr>
      </w:pPr>
      <w:r>
        <w:rPr>
          <w:rFonts w:ascii="Times New Roman;serif" w:hAnsi="Times New Roman;serif"/>
          <w:b w:val="false"/>
          <w:sz w:val="20"/>
        </w:rPr>
        <w:t xml:space="preserve">In the Company’s lease arrangement in Durham, North Carolina (as described in Note 4), the Company was involved in the construction of the build-out. To the extent the Company is involved with the structural improvements of the construction project or takes construction risk prior to the commencement of a lease, accounting guidance ASC Topic 840, </w:t>
      </w:r>
      <w:r>
        <w:rPr>
          <w:rFonts w:ascii="Times New Roman;serif" w:hAnsi="Times New Roman;serif"/>
          <w:b w:val="false"/>
          <w:i/>
          <w:sz w:val="20"/>
        </w:rPr>
        <w:t>Leases,</w:t>
      </w:r>
      <w:r>
        <w:rPr>
          <w:rFonts w:ascii="Times New Roman" w:hAnsi="Times New Roman"/>
          <w:sz w:val="20"/>
        </w:rPr>
        <w:t xml:space="preserve"> </w:t>
      </w:r>
      <w:r>
        <w:rPr>
          <w:rFonts w:ascii="Times New Roman;serif" w:hAnsi="Times New Roman;serif"/>
          <w:b w:val="false"/>
          <w:sz w:val="20"/>
        </w:rPr>
        <w:t>requires the Company to be considered the owner for accounting purposes of these types of projects during the construction period. In such cases, the Company records an asset in property, plant and equipment on its consolidated balance sheet equal to the fair value of the building shell, and a corresponding build-to-suit lease obligation on its consolidated balance sheet representing the amounts paid by the lessor. As part of its adoption of ASC 842, the Company de-recognized the building asset and corresponding financing obligation recorded on the Company’s consolidated balance sheets as of January 1, 2022, in accordance with the ASC 842 transition guidance.</w:t>
      </w:r>
    </w:p>
    <w:p>
      <w:pPr>
        <w:pStyle w:val="TextBody"/>
        <w:spacing w:before="360" w:after="0"/>
        <w:jc w:val="left"/>
        <w:rPr>
          <w:rFonts w:ascii="Times New Roman;serif" w:hAnsi="Times New Roman;serif"/>
          <w:b/>
          <w:i/>
          <w:sz w:val="20"/>
        </w:rPr>
      </w:pPr>
      <w:r>
        <w:rPr>
          <w:rFonts w:ascii="Times New Roman;serif" w:hAnsi="Times New Roman;serif"/>
          <w:b/>
          <w:i/>
          <w:sz w:val="20"/>
        </w:rPr>
        <w:t>Impairment of Long-Lived Assets</w:t>
      </w:r>
    </w:p>
    <w:p>
      <w:pPr>
        <w:pStyle w:val="TextBody"/>
        <w:spacing w:before="120" w:after="0"/>
        <w:jc w:val="left"/>
        <w:rPr>
          <w:rFonts w:ascii="Times New Roman" w:hAnsi="Times New Roman"/>
          <w:sz w:val="20"/>
        </w:rPr>
      </w:pPr>
      <w:r>
        <w:rPr>
          <w:rFonts w:ascii="Times New Roman;serif" w:hAnsi="Times New Roman;serif"/>
          <w:b w:val="false"/>
          <w:sz w:val="20"/>
        </w:rPr>
        <w:t>The Company evaluates its long-lived assets, which consist of property, plant and equipment as well as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group exceeds the fair value of the asset group. In November 2022, the Company decided not to continue the build-out of the North Carolina manufacturing facility, resulting in a change in use of this asset group. The Company performed an undiscounted cash flow analysis over the long-lived assets associated with the manufacturing facility and determined that the carrying value of the asset group is not recoverable. Significant assumptions used to determine this non-recurring fair value measurement include the time to sublease the facility, the amount of sublease income expected to be generated over the remaining lease term, and the discount rate used to measure the present value of the net cash flows associated with this asset group. The impairment charge represented the entire amount of the asset group’s carrying amount as of the date of impairment.</w:t>
      </w:r>
      <w:r>
        <w:rPr>
          <w:rFonts w:ascii="Times New Roman" w:hAnsi="Times New Roman"/>
          <w:sz w:val="20"/>
        </w:rPr>
        <w:t xml:space="preserve"> </w:t>
      </w:r>
      <w:r>
        <w:rPr>
          <w:rFonts w:ascii="Times New Roman;serif" w:hAnsi="Times New Roman;serif"/>
          <w:b w:val="false"/>
          <w:sz w:val="20"/>
        </w:rPr>
        <w:t>The Company recorded a non-cash impairment charge of $36.4</w:t>
      </w:r>
      <w:r>
        <w:rPr>
          <w:rFonts w:ascii="Times New Roman" w:hAnsi="Times New Roman"/>
          <w:sz w:val="20"/>
        </w:rPr>
        <w:t xml:space="preserve"> </w:t>
      </w:r>
      <w:r>
        <w:rPr>
          <w:rFonts w:ascii="Times New Roman;serif" w:hAnsi="Times New Roman;serif"/>
          <w:b w:val="false"/>
          <w:sz w:val="20"/>
        </w:rPr>
        <w:t>million (see Note 3) in connection with the North Carolina manufacturing facility which was allocated on a pro rata basis across the assets within the asset group. No</w:t>
      </w:r>
      <w:r>
        <w:rPr>
          <w:rFonts w:ascii="Times New Roman" w:hAnsi="Times New Roman"/>
          <w:sz w:val="20"/>
        </w:rPr>
        <w:t xml:space="preserve"> </w:t>
      </w:r>
      <w:r>
        <w:rPr>
          <w:rFonts w:ascii="Times New Roman;serif" w:hAnsi="Times New Roman;serif"/>
          <w:b w:val="false"/>
          <w:sz w:val="20"/>
        </w:rPr>
        <w:t>impairment losses were recorded for the year ended December 31, 2021.</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Debt Issuance Costs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Debt issuance costs are deferred and presented as a reduction to long-term debt. Debt issuance costs are amortized using the effective interest rate method over the term of the loan. Amortization of deferred debt issuance costs are included in interest expense in the consolidated statements of operations.</w:t>
      </w:r>
    </w:p>
    <w:p>
      <w:pPr>
        <w:pStyle w:val="TextBody"/>
        <w:spacing w:before="360" w:after="0"/>
        <w:jc w:val="left"/>
        <w:rPr>
          <w:rFonts w:ascii="Times New Roman;serif" w:hAnsi="Times New Roman;serif"/>
          <w:b/>
          <w:i/>
          <w:sz w:val="20"/>
        </w:rPr>
      </w:pPr>
      <w:r>
        <w:rPr>
          <w:rFonts w:ascii="Times New Roman;serif" w:hAnsi="Times New Roman;serif"/>
          <w:b/>
          <w:i/>
          <w:sz w:val="20"/>
        </w:rPr>
        <w:t>Research and Development</w:t>
      </w:r>
    </w:p>
    <w:p>
      <w:pPr>
        <w:pStyle w:val="TextBody"/>
        <w:spacing w:before="120" w:after="0"/>
        <w:jc w:val="left"/>
        <w:rPr>
          <w:rFonts w:ascii="Times New Roman" w:hAnsi="Times New Roman"/>
          <w:sz w:val="20"/>
        </w:rPr>
      </w:pPr>
      <w:r>
        <w:rPr>
          <w:rFonts w:ascii="Times New Roman;serif" w:hAnsi="Times New Roman;serif"/>
          <w:b w:val="false"/>
          <w:sz w:val="20"/>
        </w:rPr>
        <w:t>The Company has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consolidated balance sheets as prepaid or accrued expenses. The Company records accruals for estimated ongoing research costs. When evaluating the adequacy of the accrued liabilities, the Company analyzes progress of the studies, including the phase or completion of events, invoices received and contracted costs.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F-10</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Research and development costs primarily consist of payroll, stock-based compensation, certain manufacturing costs, laboratory costs and other supplies, and the cost to acquire license. Costs incurred in obtaining technology licenses through asset acquisitions are charged to research and development expense if the licensed technology has not reached technological feasibility and has no alternative future use. Payments of such upfront license fees and subsequent development milestones are included as investing cash outflows in the consolidated statements of cash flows.</w:t>
      </w:r>
    </w:p>
    <w:p>
      <w:pPr>
        <w:pStyle w:val="TextBody"/>
        <w:spacing w:before="360" w:after="0"/>
        <w:jc w:val="left"/>
        <w:rPr>
          <w:rFonts w:ascii="Times New Roman;serif" w:hAnsi="Times New Roman;serif"/>
          <w:b/>
          <w:i/>
          <w:sz w:val="20"/>
        </w:rPr>
      </w:pPr>
      <w:r>
        <w:rPr>
          <w:rFonts w:ascii="Times New Roman;serif" w:hAnsi="Times New Roman;serif"/>
          <w:b/>
          <w:i/>
          <w:sz w:val="20"/>
        </w:rPr>
        <w:t>Stock-Based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accounts for all stock-based payments to employees and non-employees, including grants of stock options, restricted stock awards, or RSAs, and restricted stock units, or RSUs, based on their respective grant date fair values. The Company estimates the fair value of stock option grants using the Black-Scholes option pricing model, which is affected principally by the estimated fair value of shares of the Company’s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the Company’s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Prior to September 23, 2020, the fair value of common stock underlying the Company’s stock options, RSAs and RSUs was estimated by the Company’s board of directors considering, among other things, contemporaneous valuations of the Company’s common stock prepared by unrelated third-party valuation firms. After the IPO, the fair value of common stock is based on the closing price of the Company’s common stock as reported on the date of the grant.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RSAs and RSUs are valued based on the fair value of the Company’s common stock on the date of grant. The Company expenses stock-based compensation related to stock options, RSAs and RSUs over the requisite service period using the straight-line method. Stock-based compensation costs are initially recorded in research and development expense or general and administrative expense in the consolidated statements of operations in a manner consistent with the classification of the respective employee’s payroll costs. A portion of stock-based compensation expense that relates to employees who were directly involved in the buildout of the Company’s cGMP manufacturing facility have been capitalized into the cost basis of that asset to the extent that such costs were incurred to bring the asset to the condition and location for its intended use. Forfeitures are recorded as they occur.</w:t>
      </w:r>
    </w:p>
    <w:p>
      <w:pPr>
        <w:pStyle w:val="TextBody"/>
        <w:spacing w:before="360" w:after="0"/>
        <w:jc w:val="left"/>
        <w:rPr>
          <w:rFonts w:ascii="Times New Roman;serif" w:hAnsi="Times New Roman;serif"/>
          <w:b/>
          <w:i/>
          <w:sz w:val="20"/>
        </w:rPr>
      </w:pPr>
      <w:r>
        <w:rPr>
          <w:rFonts w:ascii="Times New Roman;serif" w:hAnsi="Times New Roman;serif"/>
          <w:b/>
          <w:i/>
          <w:sz w:val="20"/>
        </w:rPr>
        <w:t>Income Taxes</w:t>
      </w:r>
    </w:p>
    <w:p>
      <w:pPr>
        <w:pStyle w:val="TextBody"/>
        <w:spacing w:before="120" w:after="0"/>
        <w:jc w:val="left"/>
        <w:rPr>
          <w:rFonts w:ascii="Times New Roman" w:hAnsi="Times New Roman"/>
          <w:sz w:val="20"/>
        </w:rPr>
      </w:pPr>
      <w:r>
        <w:rPr>
          <w:rFonts w:ascii="Times New Roman;serif" w:hAnsi="Times New Roman;serif"/>
          <w:b w:val="false"/>
          <w:sz w:val="20"/>
        </w:rPr>
        <w:t xml:space="preserve">Income taxes are recorded in accordance with ASC 740,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(“NOL”) carryforwards and research and development tax credit (“R&amp;D Credit”) carryforwards. Valuation allowances are provided, if based upon the weight of available evidence, it is more likely than not that some or all of the deferred tax assets will not be realized. The Company has recorded a full valuation allowance to reduce its net deferred income tax assets to zero. In the event the Company were to determine that it would be able to realize some or all of its deferred income tax assets in the future, an adjustment to the deferred income tax asset valuation allowance would increase income in the period such determination was made.</w:t>
      </w:r>
    </w:p>
    <w:p>
      <w:pPr>
        <w:pStyle w:val="TextBody"/>
        <w:spacing w:before="240" w:after="0"/>
        <w:jc w:val="left"/>
        <w:rPr>
          <w:rFonts w:ascii="Times New Roman" w:hAnsi="Times New Roman"/>
          <w:sz w:val="20"/>
        </w:rPr>
      </w:pPr>
      <w:r>
        <w:rPr>
          <w:rFonts w:ascii="Times New Roman;serif" w:hAnsi="Times New Roman;serif"/>
          <w:b w:val="false"/>
          <w:sz w:val="20"/>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During the years ended December 31, 2022 and 2021, the Company recorded increases in the amount of gross unrecognized tax benefits of $3.1</w:t>
      </w:r>
      <w:r>
        <w:rPr>
          <w:rFonts w:ascii="Times New Roman" w:hAnsi="Times New Roman"/>
          <w:sz w:val="20"/>
        </w:rPr>
        <w:t xml:space="preserve"> </w:t>
      </w:r>
      <w:r>
        <w:rPr>
          <w:rFonts w:ascii="Times New Roman;serif" w:hAnsi="Times New Roman;serif"/>
          <w:b w:val="false"/>
          <w:sz w:val="20"/>
        </w:rPr>
        <w:t>million and $4.7</w:t>
      </w:r>
      <w:r>
        <w:rPr>
          <w:rFonts w:ascii="Times New Roman" w:hAnsi="Times New Roman"/>
          <w:sz w:val="20"/>
        </w:rPr>
        <w:t xml:space="preserve"> </w:t>
      </w:r>
      <w:r>
        <w:rPr>
          <w:rFonts w:ascii="Times New Roman;serif" w:hAnsi="Times New Roman;serif"/>
          <w:b w:val="false"/>
          <w:sz w:val="20"/>
        </w:rPr>
        <w:t>million, respectively. The unrecognized tax benefits, if recognized, would not affect the effective income tax rate due to the valuation allowance that currently offsets deferred tax assets. The Company does not expect the unrecognized tax benefits to change significantly over the next 12 months. The Company would recognize any corresponding interest and penalties associated with its income tax positions in income tax expense. There was no</w:t>
      </w:r>
      <w:r>
        <w:rPr>
          <w:rFonts w:ascii="Times New Roman" w:hAnsi="Times New Roman"/>
          <w:sz w:val="20"/>
        </w:rPr>
        <w:t xml:space="preserve"> </w:t>
      </w:r>
      <w:r>
        <w:rPr>
          <w:rFonts w:ascii="Times New Roman;serif" w:hAnsi="Times New Roman;serif"/>
          <w:b w:val="false"/>
          <w:sz w:val="20"/>
        </w:rPr>
        <w:t>income tax interest or penalties incurred for the years ended December 31, 2022 and 2021.</w:t>
      </w:r>
    </w:p>
    <w:p>
      <w:pPr>
        <w:pStyle w:val="TextBody"/>
        <w:spacing w:before="360" w:after="0"/>
        <w:jc w:val="left"/>
        <w:rPr>
          <w:rFonts w:ascii="Times New Roman;serif" w:hAnsi="Times New Roman;serif"/>
          <w:b/>
          <w:i/>
          <w:sz w:val="20"/>
        </w:rPr>
      </w:pPr>
      <w:r>
        <w:rPr>
          <w:rFonts w:ascii="Times New Roman;serif" w:hAnsi="Times New Roman;serif"/>
          <w:b/>
          <w:i/>
          <w:sz w:val="20"/>
        </w:rPr>
        <w:t>Comprehensive Loss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Comprehensive loss is equal to net loss as presented in the accompanying consolidated statements of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F-11</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360" w:after="0"/>
        <w:jc w:val="left"/>
        <w:rPr>
          <w:rFonts w:ascii="Times New Roman;serif" w:hAnsi="Times New Roman;serif"/>
          <w:b/>
          <w:i/>
          <w:sz w:val="20"/>
        </w:rPr>
      </w:pPr>
      <w:r>
        <w:rPr>
          <w:rFonts w:ascii="Times New Roman;serif" w:hAnsi="Times New Roman;serif"/>
          <w:b/>
          <w:i/>
          <w:sz w:val="20"/>
        </w:rPr>
        <w:t>Recently Adopted Accounting Pronouncements</w:t>
      </w:r>
    </w:p>
    <w:p>
      <w:pPr>
        <w:pStyle w:val="TextBody"/>
        <w:spacing w:before="120" w:after="0"/>
        <w:jc w:val="left"/>
        <w:rPr>
          <w:rFonts w:ascii="Times New Roman" w:hAnsi="Times New Roman"/>
          <w:sz w:val="20"/>
        </w:rPr>
      </w:pPr>
      <w:r>
        <w:rPr>
          <w:rFonts w:ascii="Times New Roman;serif" w:hAnsi="Times New Roman;serif"/>
          <w:b w:val="false"/>
          <w:sz w:val="20"/>
        </w:rPr>
        <w:t>In February 2016, the FASB issued ASU No. 2016-02, Leases (Topic 842),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Effective January 1, 2022, the Company adopted</w:t>
      </w:r>
      <w:r>
        <w:rPr>
          <w:rFonts w:ascii="Times New Roman" w:hAnsi="Times New Roman"/>
          <w:sz w:val="20"/>
        </w:rPr>
        <w:t xml:space="preserve"> </w:t>
      </w:r>
      <w:r>
        <w:rPr>
          <w:rFonts w:ascii="Times New Roman;serif" w:hAnsi="Times New Roman;serif"/>
          <w:b w:val="false"/>
          <w:sz w:val="20"/>
        </w:rPr>
        <w:t>ASU 2016-02 using the modified retrospective approach and utilizing the effective date as its date of initial application. As a result, prior periods are presented in accordance with the previous guidance in ASC 840. 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 For leases that existed prior to the date of initial application of ASC 842 (which were previously classified as operating leases), a lessee may elect to use either the total lease term measured at lease inception under ASC 840 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pStyle w:val="TextBody"/>
        <w:spacing w:before="240" w:after="0"/>
        <w:jc w:val="left"/>
        <w:rPr>
          <w:rFonts w:ascii="Times New Roman" w:hAnsi="Times New Roman"/>
          <w:sz w:val="20"/>
        </w:rPr>
      </w:pPr>
      <w:r>
        <w:rPr>
          <w:rFonts w:ascii="Times New Roman;serif" w:hAnsi="Times New Roman;serif"/>
          <w:b w:val="false"/>
          <w:sz w:val="20"/>
        </w:rPr>
        <w:t>The adoption of this standard resulted in the recognition of operating lease right-of-use assets and operating lease liabilities of $18.4</w:t>
      </w:r>
      <w:r>
        <w:rPr>
          <w:rFonts w:ascii="Times New Roman" w:hAnsi="Times New Roman"/>
          <w:sz w:val="20"/>
        </w:rPr>
        <w:t xml:space="preserve"> </w:t>
      </w:r>
      <w:r>
        <w:rPr>
          <w:rFonts w:ascii="Times New Roman;serif" w:hAnsi="Times New Roman;serif"/>
          <w:b w:val="false"/>
          <w:sz w:val="20"/>
        </w:rPr>
        <w:t>million and $19.1</w:t>
      </w:r>
      <w:r>
        <w:rPr>
          <w:rFonts w:ascii="Times New Roman" w:hAnsi="Times New Roman"/>
          <w:sz w:val="20"/>
        </w:rPr>
        <w:t xml:space="preserve"> </w:t>
      </w:r>
      <w:r>
        <w:rPr>
          <w:rFonts w:ascii="Times New Roman;serif" w:hAnsi="Times New Roman;serif"/>
          <w:b w:val="false"/>
          <w:sz w:val="20"/>
        </w:rPr>
        <w:t>million, respectively, on the Company’s consolidated balance sheet at adoption relating to its operating leases. The lease liabilities were determined based on the present value of the remaining minimum lease payments. Upon adoption of ASC 842, the Company also (i) derecognized the build-to-suit lease asset of $26.3</w:t>
      </w:r>
      <w:r>
        <w:rPr>
          <w:rFonts w:ascii="Times New Roman" w:hAnsi="Times New Roman"/>
          <w:sz w:val="20"/>
        </w:rPr>
        <w:t xml:space="preserve"> </w:t>
      </w:r>
      <w:r>
        <w:rPr>
          <w:rFonts w:ascii="Times New Roman;serif" w:hAnsi="Times New Roman;serif"/>
          <w:b w:val="false"/>
          <w:sz w:val="20"/>
        </w:rPr>
        <w:t>million previously presented in property, plant and equipment, (ii) derecognized the build-to-suit lease liability of $26.5</w:t>
      </w:r>
      <w:r>
        <w:rPr>
          <w:rFonts w:ascii="Times New Roman" w:hAnsi="Times New Roman"/>
          <w:sz w:val="20"/>
        </w:rPr>
        <w:t xml:space="preserve"> </w:t>
      </w:r>
      <w:r>
        <w:rPr>
          <w:rFonts w:ascii="Times New Roman;serif" w:hAnsi="Times New Roman;serif"/>
          <w:b w:val="false"/>
          <w:sz w:val="20"/>
        </w:rPr>
        <w:t>million, and (iii) eliminated $0.7</w:t>
      </w:r>
      <w:r>
        <w:rPr>
          <w:rFonts w:ascii="Times New Roman" w:hAnsi="Times New Roman"/>
          <w:sz w:val="20"/>
        </w:rPr>
        <w:t xml:space="preserve"> </w:t>
      </w:r>
      <w:r>
        <w:rPr>
          <w:rFonts w:ascii="Times New Roman;serif" w:hAnsi="Times New Roman;serif"/>
          <w:b w:val="false"/>
          <w:sz w:val="20"/>
        </w:rPr>
        <w:t>million of deferred rent liabilities and tenant improvement allowances as of January 1, 2022 as these liabilities are reflected in the operating lease right-of-use assets. In adopting ASU 2016-02, the Company recorded a total one-time adjustment of $0.2</w:t>
      </w:r>
      <w:r>
        <w:rPr>
          <w:rFonts w:ascii="Times New Roman" w:hAnsi="Times New Roman"/>
          <w:sz w:val="20"/>
        </w:rPr>
        <w:t xml:space="preserve"> </w:t>
      </w:r>
      <w:r>
        <w:rPr>
          <w:rFonts w:ascii="Times New Roman;serif" w:hAnsi="Times New Roman;serif"/>
          <w:b w:val="false"/>
          <w:sz w:val="20"/>
        </w:rPr>
        <w:t>million to the opening balance of accumulated deficit as of January 1, 2022 related to the de-recognition of the build-to-suit lease asset and related build-to-suit lease obligation. The adoption did not</w:t>
      </w:r>
      <w:r>
        <w:rPr>
          <w:rFonts w:ascii="Times New Roman" w:hAnsi="Times New Roman"/>
          <w:sz w:val="20"/>
        </w:rPr>
        <w:t xml:space="preserve"> </w:t>
      </w:r>
      <w:r>
        <w:rPr>
          <w:rFonts w:ascii="Times New Roman;serif" w:hAnsi="Times New Roman;serif"/>
          <w:b w:val="false"/>
          <w:sz w:val="20"/>
        </w:rPr>
        <w:t>have a material impact on accumulated deficit and on the consolidated statements of operations and cash flows.</w:t>
      </w:r>
    </w:p>
    <w:p>
      <w:pPr>
        <w:pStyle w:val="TextBody"/>
        <w:spacing w:before="240" w:after="0"/>
        <w:jc w:val="left"/>
        <w:rPr>
          <w:rFonts w:ascii="Times New Roman" w:hAnsi="Times New Roman"/>
          <w:sz w:val="20"/>
        </w:rPr>
      </w:pPr>
      <w:r>
        <w:rPr>
          <w:rFonts w:ascii="Times New Roman;serif" w:hAnsi="Times New Roman;serif"/>
          <w:b w:val="false"/>
          <w:sz w:val="20"/>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beginning after December 15, 2021, and interim periods within fiscal years beginning after December 15, 2022, with early adoption permitted. The Company adopted</w:t>
      </w:r>
      <w:r>
        <w:rPr>
          <w:rFonts w:ascii="Times New Roman" w:hAnsi="Times New Roman"/>
          <w:sz w:val="20"/>
        </w:rPr>
        <w:t xml:space="preserve"> </w:t>
      </w:r>
      <w:r>
        <w:rPr>
          <w:rFonts w:ascii="Times New Roman;serif" w:hAnsi="Times New Roman;serif"/>
          <w:b w:val="false"/>
          <w:sz w:val="20"/>
        </w:rPr>
        <w:t>this guidance on January 1, 2022. There is no</w:t>
      </w:r>
      <w:r>
        <w:rPr>
          <w:rFonts w:ascii="Times New Roman" w:hAnsi="Times New Roman"/>
          <w:sz w:val="20"/>
        </w:rPr>
        <w:t xml:space="preserve"> </w:t>
      </w:r>
      <w:r>
        <w:rPr>
          <w:rFonts w:ascii="Times New Roman;serif" w:hAnsi="Times New Roman;serif"/>
          <w:b w:val="false"/>
          <w:sz w:val="20"/>
        </w:rPr>
        <w:t>impact to the consolidated balance sheets as of December 31, 2022 because of the full valuation allowance position taken for deferred taxes.</w:t>
      </w:r>
    </w:p>
    <w:p>
      <w:pPr>
        <w:pStyle w:val="TextBody"/>
        <w:spacing w:before="360" w:after="0"/>
        <w:jc w:val="left"/>
        <w:rPr>
          <w:rFonts w:ascii="Times New Roman;serif" w:hAnsi="Times New Roman;serif"/>
          <w:b/>
          <w:sz w:val="20"/>
        </w:rPr>
      </w:pPr>
      <w:r>
        <w:rPr>
          <w:rFonts w:ascii="Times New Roman;serif" w:hAnsi="Times New Roman;serif"/>
          <w:b/>
          <w:sz w:val="20"/>
        </w:rPr>
        <w:t>Note 3—Supplemental Financial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Property, plant and equipment, net consisted of the following (in thousands):</w:t>
      </w:r>
    </w:p>
    <w:p>
      <w:pPr>
        <w:pStyle w:val="TextBody"/>
        <w:spacing w:before="120" w:after="0"/>
        <w:jc w:val="left"/>
        <w:rPr/>
      </w:pPr>
      <w:r>
        <w:rPr/>
        <w:t> </w:t>
      </w:r>
    </w:p>
    <w:tbl>
      <w:tblPr>
        <w:tblW w:w="6115" w:type="dxa"/>
        <w:jc w:val="left"/>
        <w:tblInd w:w="0" w:type="dxa"/>
        <w:tblCellMar>
          <w:top w:w="28" w:type="dxa"/>
          <w:left w:w="28" w:type="dxa"/>
          <w:bottom w:w="28" w:type="dxa"/>
          <w:right w:w="28" w:type="dxa"/>
        </w:tblCellMar>
      </w:tblPr>
      <w:tblGrid>
        <w:gridCol w:w="2926"/>
        <w:gridCol w:w="146"/>
        <w:gridCol w:w="299"/>
        <w:gridCol w:w="961"/>
        <w:gridCol w:w="166"/>
        <w:gridCol w:w="146"/>
        <w:gridCol w:w="299"/>
        <w:gridCol w:w="961"/>
        <w:gridCol w:w="21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2,067</w:t>
            </w:r>
          </w:p>
        </w:tc>
        <w:tc>
          <w:tcPr>
            <w:tcW w:w="2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1,095</w:t>
            </w:r>
          </w:p>
        </w:tc>
        <w:tc>
          <w:tcPr>
            <w:tcW w:w="2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w:t>
            </w:r>
          </w:p>
        </w:tc>
        <w:tc>
          <w:tcPr>
            <w:tcW w:w="2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2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46,004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51,109</w:t>
            </w:r>
          </w:p>
        </w:tc>
        <w:tc>
          <w:tcPr>
            <w:tcW w:w="2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net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50,610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In November 2022, the Company recognized a non-cash impairment charge of</w:t>
      </w:r>
      <w:r>
        <w:rPr>
          <w:rFonts w:ascii="Times New Roman" w:hAnsi="Times New Roman"/>
          <w:sz w:val="20"/>
        </w:rPr>
        <w:t xml:space="preserve"> </w:t>
      </w:r>
      <w:r>
        <w:rPr>
          <w:rFonts w:ascii="Times New Roman;serif" w:hAnsi="Times New Roman;serif"/>
          <w:b w:val="false"/>
          <w:sz w:val="20"/>
        </w:rPr>
        <w:t>$36.4</w:t>
      </w:r>
      <w:r>
        <w:rPr>
          <w:rFonts w:ascii="Times New Roman" w:hAnsi="Times New Roman"/>
          <w:sz w:val="20"/>
        </w:rPr>
        <w:t xml:space="preserve"> </w:t>
      </w:r>
      <w:r>
        <w:rPr>
          <w:rFonts w:ascii="Times New Roman;serif" w:hAnsi="Times New Roman;serif"/>
          <w:b w:val="false"/>
          <w:sz w:val="20"/>
        </w:rPr>
        <w:t>million for the manufacturing facility asset group, of which $26.3</w:t>
      </w:r>
      <w:r>
        <w:rPr>
          <w:rFonts w:ascii="Times New Roman" w:hAnsi="Times New Roman"/>
          <w:sz w:val="20"/>
        </w:rPr>
        <w:t xml:space="preserve"> </w:t>
      </w:r>
      <w:r>
        <w:rPr>
          <w:rFonts w:ascii="Times New Roman;serif" w:hAnsi="Times New Roman;serif"/>
          <w:b w:val="false"/>
          <w:sz w:val="20"/>
        </w:rPr>
        <w:t>million relates to construction in progress and finance lease right-of-use assets. The impairment charge was estimated using a discounted cash flow model and recorded in the consolidated statements of operations for the year ended December 31, 2022. Included in construction in progress at December 31, 2021 was $45.8</w:t>
      </w:r>
      <w:r>
        <w:rPr>
          <w:rFonts w:ascii="Times New Roman" w:hAnsi="Times New Roman"/>
          <w:sz w:val="20"/>
        </w:rPr>
        <w:t xml:space="preserve"> </w:t>
      </w:r>
      <w:r>
        <w:rPr>
          <w:rFonts w:ascii="Times New Roman;serif" w:hAnsi="Times New Roman;serif"/>
          <w:b w:val="false"/>
          <w:sz w:val="20"/>
        </w:rPr>
        <w:t>million of costs associated with the Build-to-Suit lease (see Note 4),</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F-12</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40" w:after="0"/>
        <w:jc w:val="left"/>
        <w:rPr>
          <w:rFonts w:ascii="Times New Roman" w:hAnsi="Times New Roman"/>
          <w:sz w:val="20"/>
        </w:rPr>
      </w:pPr>
      <w:r>
        <w:rPr>
          <w:rFonts w:ascii="Times New Roman;serif" w:hAnsi="Times New Roman;serif"/>
          <w:b w:val="false"/>
          <w:sz w:val="20"/>
        </w:rPr>
        <w:t>which included $2.0</w:t>
      </w:r>
      <w:r>
        <w:rPr>
          <w:rFonts w:ascii="Times New Roman" w:hAnsi="Times New Roman"/>
          <w:sz w:val="20"/>
        </w:rPr>
        <w:t xml:space="preserve"> </w:t>
      </w:r>
      <w:r>
        <w:rPr>
          <w:rFonts w:ascii="Times New Roman;serif" w:hAnsi="Times New Roman;serif"/>
          <w:b w:val="false"/>
          <w:sz w:val="20"/>
        </w:rPr>
        <w:t>million of capitalized payroll and payroll-related costs. Property, plant and equipment, net includes $1.3</w:t>
      </w:r>
      <w:r>
        <w:rPr>
          <w:rFonts w:ascii="Times New Roman" w:hAnsi="Times New Roman"/>
          <w:sz w:val="20"/>
        </w:rPr>
        <w:t xml:space="preserve"> </w:t>
      </w:r>
      <w:r>
        <w:rPr>
          <w:rFonts w:ascii="Times New Roman;serif" w:hAnsi="Times New Roman;serif"/>
          <w:b w:val="false"/>
          <w:sz w:val="20"/>
        </w:rPr>
        <w:t>million of assets capitalized as finance leases as of December 31, 2022.</w:t>
      </w:r>
    </w:p>
    <w:p>
      <w:pPr>
        <w:pStyle w:val="TextBody"/>
        <w:spacing w:before="240" w:after="0"/>
        <w:jc w:val="left"/>
        <w:rPr>
          <w:rFonts w:ascii="Times New Roman" w:hAnsi="Times New Roman"/>
          <w:sz w:val="20"/>
        </w:rPr>
      </w:pPr>
      <w:r>
        <w:rPr>
          <w:rFonts w:ascii="Times New Roman;serif" w:hAnsi="Times New Roman;serif"/>
          <w:b w:val="false"/>
          <w:sz w:val="20"/>
        </w:rPr>
        <w:t>Depreciation expense was $1.2</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for the years ended December 31, 2022 and 2021,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Accrued expenses and other current liabilities consisted of the following (in thousands):</w:t>
      </w:r>
    </w:p>
    <w:p>
      <w:pPr>
        <w:pStyle w:val="TextBody"/>
        <w:spacing w:before="0" w:after="0"/>
        <w:jc w:val="left"/>
        <w:rPr/>
      </w:pPr>
      <w:r>
        <w:rPr/>
        <w:t> </w:t>
      </w:r>
    </w:p>
    <w:tbl>
      <w:tblPr>
        <w:tblW w:w="7410" w:type="dxa"/>
        <w:jc w:val="left"/>
        <w:tblInd w:w="0" w:type="dxa"/>
        <w:tblCellMar>
          <w:top w:w="28" w:type="dxa"/>
          <w:left w:w="28" w:type="dxa"/>
          <w:bottom w:w="28" w:type="dxa"/>
          <w:right w:w="28" w:type="dxa"/>
        </w:tblCellMar>
      </w:tblPr>
      <w:tblGrid>
        <w:gridCol w:w="4261"/>
        <w:gridCol w:w="146"/>
        <w:gridCol w:w="299"/>
        <w:gridCol w:w="961"/>
        <w:gridCol w:w="146"/>
        <w:gridCol w:w="146"/>
        <w:gridCol w:w="299"/>
        <w:gridCol w:w="961"/>
        <w:gridCol w:w="191"/>
      </w:tblGrid>
      <w:tr>
        <w:trPr/>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11,895</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7,703</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2,644</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clinical trial</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severance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current portion</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and consulting fees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1,091</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license fees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29,983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Prepaid expenses and other current assets consisted of the following (in thousands):</w:t>
      </w:r>
    </w:p>
    <w:p>
      <w:pPr>
        <w:pStyle w:val="TextBody"/>
        <w:spacing w:before="0" w:after="0"/>
        <w:jc w:val="left"/>
        <w:rPr/>
      </w:pPr>
      <w:r>
        <w:rPr/>
        <w:t> </w:t>
      </w:r>
    </w:p>
    <w:tbl>
      <w:tblPr>
        <w:tblW w:w="7080" w:type="dxa"/>
        <w:jc w:val="left"/>
        <w:tblInd w:w="0" w:type="dxa"/>
        <w:tblCellMar>
          <w:top w:w="28" w:type="dxa"/>
          <w:left w:w="28" w:type="dxa"/>
          <w:bottom w:w="28" w:type="dxa"/>
          <w:right w:w="28" w:type="dxa"/>
        </w:tblCellMar>
      </w:tblPr>
      <w:tblGrid>
        <w:gridCol w:w="3931"/>
        <w:gridCol w:w="146"/>
        <w:gridCol w:w="339"/>
        <w:gridCol w:w="921"/>
        <w:gridCol w:w="146"/>
        <w:gridCol w:w="146"/>
        <w:gridCol w:w="299"/>
        <w:gridCol w:w="961"/>
        <w:gridCol w:w="191"/>
      </w:tblGrid>
      <w:tr>
        <w:trPr/>
        <w:tc>
          <w:tcPr>
            <w:tcW w:w="3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5,218</w:t>
            </w:r>
          </w:p>
        </w:tc>
        <w:tc>
          <w:tcPr>
            <w:tcW w:w="19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clinical trial</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3,298</w:t>
            </w:r>
          </w:p>
        </w:tc>
        <w:tc>
          <w:tcPr>
            <w:tcW w:w="19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offering costs</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19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9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bonus</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19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shd w:fill="auto" w:val="clear"/>
            <w:vAlign w:val="center"/>
          </w:tcPr>
          <w:p>
            <w:pPr>
              <w:pStyle w:val="TableContents"/>
              <w:spacing w:before="0" w:after="0"/>
              <w:ind w:left="0" w:right="0" w:hanging="0"/>
              <w:jc w:val="righ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4— Leases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leases certain office, laboratory, and manufacturing space.</w:t>
      </w:r>
    </w:p>
    <w:p>
      <w:pPr>
        <w:pStyle w:val="TextBody"/>
        <w:spacing w:before="240" w:after="0"/>
        <w:jc w:val="left"/>
        <w:rPr>
          <w:rFonts w:ascii="Times New Roman;serif" w:hAnsi="Times New Roman;serif"/>
          <w:b/>
          <w:sz w:val="20"/>
        </w:rPr>
      </w:pPr>
      <w:r>
        <w:rPr>
          <w:rFonts w:ascii="Times New Roman;serif" w:hAnsi="Times New Roman;serif"/>
          <w:b/>
          <w:sz w:val="20"/>
        </w:rPr>
        <w:t>Dallas Lease</w:t>
      </w:r>
    </w:p>
    <w:p>
      <w:pPr>
        <w:pStyle w:val="TextBody"/>
        <w:spacing w:before="120" w:after="0"/>
        <w:jc w:val="left"/>
        <w:rPr>
          <w:rFonts w:ascii="Times New Roman" w:hAnsi="Times New Roman"/>
          <w:sz w:val="20"/>
        </w:rPr>
      </w:pPr>
      <w:r>
        <w:rPr>
          <w:rFonts w:ascii="Times New Roman;serif" w:hAnsi="Times New Roman;serif"/>
          <w:b w:val="false"/>
          <w:sz w:val="20"/>
        </w:rPr>
        <w:t>On January 11, 2021, the Company entered into a lease agreement (the “Dallas Lease”) with Pegasus Park, LLC, a Delaware limited liability company (the “Dallas Landlord”), pursuant to which the Company will lease approximately 15,000</w:t>
      </w:r>
      <w:r>
        <w:rPr>
          <w:rFonts w:ascii="Times New Roman" w:hAnsi="Times New Roman"/>
          <w:sz w:val="20"/>
        </w:rPr>
        <w:t xml:space="preserve"> </w:t>
      </w:r>
      <w:r>
        <w:rPr>
          <w:rFonts w:ascii="Times New Roman;serif" w:hAnsi="Times New Roman;serif"/>
          <w:b w:val="false"/>
          <w:sz w:val="20"/>
        </w:rPr>
        <w:t>square feet of office space at 3000 Pegasus Park Drive, Dallas, Texas 75247 (the “Office Space”).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Dallas Lease commenced on May 27, 2021, and has a term of approximately ten years. The Company has an option to extend the term of the Dallas Lease for one additional period of five years.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has a right of first refusal with respect to certain additional adjacent office space before the Dallas Landlord accepts any offer for such space.</w:t>
      </w:r>
    </w:p>
    <w:p>
      <w:pPr>
        <w:pStyle w:val="TextBody"/>
        <w:spacing w:before="240" w:after="0"/>
        <w:jc w:val="left"/>
        <w:rPr>
          <w:rFonts w:ascii="Times New Roman" w:hAnsi="Times New Roman"/>
          <w:sz w:val="20"/>
        </w:rPr>
      </w:pPr>
      <w:r>
        <w:rPr>
          <w:rFonts w:ascii="Times New Roman;serif" w:hAnsi="Times New Roman;serif"/>
          <w:b w:val="false"/>
          <w:sz w:val="20"/>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Dallas Lease Expansion</w:t>
      </w:r>
    </w:p>
    <w:p>
      <w:pPr>
        <w:pStyle w:val="TextBody"/>
        <w:spacing w:before="120" w:after="0"/>
        <w:jc w:val="left"/>
        <w:rPr>
          <w:rFonts w:ascii="Times New Roman" w:hAnsi="Times New Roman"/>
          <w:sz w:val="20"/>
        </w:rPr>
      </w:pPr>
      <w:r>
        <w:rPr>
          <w:rFonts w:ascii="Times New Roman;serif" w:hAnsi="Times New Roman;serif"/>
          <w:b w:val="false"/>
          <w:sz w:val="20"/>
        </w:rPr>
        <w:t>On December 14, 2021, the Company amended the Dallas Lease (the “Dallas Lease Amendment”) with the Dallas Landlord, pursuant to which the Company will lease approximately 18,000</w:t>
      </w:r>
      <w:r>
        <w:rPr>
          <w:rFonts w:ascii="Times New Roman" w:hAnsi="Times New Roman"/>
          <w:sz w:val="20"/>
        </w:rPr>
        <w:t xml:space="preserve"> </w:t>
      </w:r>
      <w:r>
        <w:rPr>
          <w:rFonts w:ascii="Times New Roman;serif" w:hAnsi="Times New Roman;serif"/>
          <w:b w:val="false"/>
          <w:sz w:val="20"/>
        </w:rPr>
        <w:t>square feet of office space adjacent to the Office Space at 3000 Pegasus Park Drive, Dallas, Texas 75247 (the “Expansion Premises”).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Dallas Lease Amendment commenced on July 1, 2022, and has a term of approximately ten years.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F-13</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0"/>
        <w:jc w:val="left"/>
        <w:rPr>
          <w:rFonts w:ascii="Times New Roman" w:hAnsi="Times New Roman"/>
          <w:sz w:val="20"/>
        </w:rPr>
      </w:pPr>
      <w:r>
        <w:rPr>
          <w:rFonts w:ascii="Times New Roman;serif" w:hAnsi="Times New Roman;serif"/>
          <w:b w:val="false"/>
          <w:sz w:val="20"/>
        </w:rPr>
        <w:t>The Company is obligated to pay operating costs and utilities applicable to the Expansion Premises. Total future minimum lease payments under the Dallas Lease Amendment over the initial 10</w:t>
      </w:r>
      <w:r>
        <w:rPr>
          <w:rFonts w:ascii="Times New Roman" w:hAnsi="Times New Roman"/>
          <w:sz w:val="20"/>
        </w:rPr>
        <w:t xml:space="preserve"> </w:t>
      </w:r>
      <w:r>
        <w:rPr>
          <w:rFonts w:ascii="Times New Roman;serif" w:hAnsi="Times New Roman;serif"/>
          <w:b w:val="false"/>
          <w:sz w:val="20"/>
        </w:rPr>
        <w:t>year term are approximately $6.0</w:t>
      </w:r>
      <w:r>
        <w:rPr>
          <w:rFonts w:ascii="Times New Roman" w:hAnsi="Times New Roman"/>
          <w:sz w:val="20"/>
        </w:rPr>
        <w:t xml:space="preserve"> </w:t>
      </w:r>
      <w:r>
        <w:rPr>
          <w:rFonts w:ascii="Times New Roman;serif" w:hAnsi="Times New Roman;serif"/>
          <w:b w:val="false"/>
          <w:sz w:val="20"/>
        </w:rPr>
        <w:t>million. The Company will be responsible for costs of constructing interior improvements within the Expansion Premises that exceed a $40.00</w:t>
      </w:r>
      <w:r>
        <w:rPr>
          <w:rFonts w:ascii="Times New Roman" w:hAnsi="Times New Roman"/>
          <w:sz w:val="20"/>
        </w:rPr>
        <w:t xml:space="preserve"> </w:t>
      </w:r>
      <w:r>
        <w:rPr>
          <w:rFonts w:ascii="Times New Roman;serif" w:hAnsi="Times New Roman;serif"/>
          <w:b w:val="false"/>
          <w:sz w:val="20"/>
        </w:rPr>
        <w:t>per rentable square foot construction allowance provided by the Dallas Landlord.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has a right of first refusal with respect to certain additional office space on the 15</w:t>
      </w:r>
      <w:r>
        <w:rPr>
          <w:rFonts w:ascii="Times New Roman;serif" w:hAnsi="Times New Roman;serif"/>
          <w:b w:val="false"/>
          <w:sz w:val="13"/>
        </w:rPr>
        <w:t>th</w:t>
      </w:r>
      <w:r>
        <w:rPr>
          <w:rFonts w:ascii="Times New Roman" w:hAnsi="Times New Roman"/>
          <w:sz w:val="20"/>
        </w:rPr>
        <w:t xml:space="preserve"> </w:t>
      </w:r>
      <w:r>
        <w:rPr>
          <w:rFonts w:ascii="Times New Roman;serif" w:hAnsi="Times New Roman;serif"/>
          <w:b w:val="false"/>
          <w:sz w:val="20"/>
        </w:rPr>
        <w:t>floor at 3000 Pegasus Park Drive, Dallas, Texas 75247 before the Dallas Landlord accepts any offer for such space.</w:t>
      </w:r>
    </w:p>
    <w:p>
      <w:pPr>
        <w:pStyle w:val="TextBody"/>
        <w:spacing w:before="240" w:after="0"/>
        <w:jc w:val="left"/>
        <w:rPr>
          <w:rFonts w:ascii="Times New Roman;serif" w:hAnsi="Times New Roman;serif"/>
          <w:b/>
          <w:sz w:val="20"/>
        </w:rPr>
      </w:pPr>
      <w:r>
        <w:rPr>
          <w:rFonts w:ascii="Times New Roman;serif" w:hAnsi="Times New Roman;serif"/>
          <w:b/>
          <w:sz w:val="20"/>
        </w:rPr>
        <w:t>Durham Lease</w:t>
      </w:r>
    </w:p>
    <w:p>
      <w:pPr>
        <w:pStyle w:val="TextBody"/>
        <w:spacing w:before="120" w:after="0"/>
        <w:jc w:val="left"/>
        <w:rPr>
          <w:rFonts w:ascii="Times New Roman" w:hAnsi="Times New Roman"/>
          <w:sz w:val="20"/>
        </w:rPr>
      </w:pPr>
      <w:r>
        <w:rPr>
          <w:rFonts w:ascii="Times New Roman;serif" w:hAnsi="Times New Roman;serif"/>
          <w:b w:val="false"/>
          <w:sz w:val="20"/>
        </w:rPr>
        <w:t>On December 17, 2020, the Company entered into a lease agreement (the “Durham Lease”) with Patriot Park Partners II, LLC, a Delaware limited liability company (the “Durham Landlord”), pursuant to which the Company agreed to lease approximately 187,500</w:t>
      </w:r>
      <w:r>
        <w:rPr>
          <w:rFonts w:ascii="Times New Roman" w:hAnsi="Times New Roman"/>
          <w:sz w:val="20"/>
        </w:rPr>
        <w:t xml:space="preserve"> </w:t>
      </w:r>
      <w:r>
        <w:rPr>
          <w:rFonts w:ascii="Times New Roman;serif" w:hAnsi="Times New Roman;serif"/>
          <w:b w:val="false"/>
          <w:sz w:val="20"/>
        </w:rPr>
        <w:t>square feet of a manufacturing facility located at 5 National Way, Durham, North Carolina (the “Facility”). The Durham Lease commenced on April 1, 2021</w:t>
      </w:r>
      <w:r>
        <w:rPr>
          <w:rFonts w:ascii="Times New Roman" w:hAnsi="Times New Roman"/>
          <w:sz w:val="20"/>
        </w:rPr>
        <w:t xml:space="preserve"> </w:t>
      </w:r>
      <w:r>
        <w:rPr>
          <w:rFonts w:ascii="Times New Roman;serif" w:hAnsi="Times New Roman;serif"/>
          <w:b w:val="false"/>
          <w:sz w:val="20"/>
        </w:rPr>
        <w:t>and is expected to have a term of approximately fifteen years and six months. The Company has two options to extend the term of the Durham Lease, each for a period of an additional five years.</w:t>
      </w:r>
    </w:p>
    <w:p>
      <w:pPr>
        <w:pStyle w:val="TextBody"/>
        <w:spacing w:before="240" w:after="0"/>
        <w:jc w:val="left"/>
        <w:rPr>
          <w:rFonts w:ascii="Times New Roman" w:hAnsi="Times New Roman"/>
          <w:sz w:val="20"/>
        </w:rPr>
      </w:pPr>
      <w:r>
        <w:rPr>
          <w:rFonts w:ascii="Times New Roman;serif" w:hAnsi="Times New Roman;serif"/>
          <w:b w:val="false"/>
          <w:sz w:val="20"/>
        </w:rPr>
        <w:t>The Company was not required to provide a security deposit in connection with its entry into the Durham Lease. The Company will be responsible for constructing interior improvements within the Facility. The Company was required to place $2.6</w:t>
      </w:r>
      <w:r>
        <w:rPr>
          <w:rFonts w:ascii="Times New Roman" w:hAnsi="Times New Roman"/>
          <w:sz w:val="20"/>
        </w:rPr>
        <w:t xml:space="preserve"> </w:t>
      </w:r>
      <w:r>
        <w:rPr>
          <w:rFonts w:ascii="Times New Roman;serif" w:hAnsi="Times New Roman;serif"/>
          <w:b w:val="false"/>
          <w:sz w:val="20"/>
        </w:rPr>
        <w:t>million in an escrow account which will be released when the improvements are substantially complete. The escrow funds are recorded as restricted cash on the consolidated balance sheet as of December 31, 2022. The Durham Landlord has the right to terminate the Durham Lease upon specified events of default, including the Company’s failure to pay rent in a timely manner and upon the occurrence of certain events of insolvency with respect to the Company.</w:t>
      </w:r>
    </w:p>
    <w:p>
      <w:pPr>
        <w:pStyle w:val="TextBody"/>
        <w:spacing w:before="240" w:after="0"/>
        <w:jc w:val="left"/>
        <w:rPr>
          <w:rFonts w:ascii="Times New Roman" w:hAnsi="Times New Roman"/>
          <w:sz w:val="20"/>
        </w:rPr>
      </w:pPr>
      <w:r>
        <w:rPr>
          <w:rFonts w:ascii="Times New Roman;serif" w:hAnsi="Times New Roman;serif"/>
          <w:b w:val="false"/>
          <w:sz w:val="20"/>
        </w:rPr>
        <w:t xml:space="preserve">In accordance with ASC Topic 840, </w:t>
      </w:r>
      <w:r>
        <w:rPr>
          <w:rFonts w:ascii="Times New Roman;serif" w:hAnsi="Times New Roman;serif"/>
          <w:b w:val="false"/>
          <w:i/>
          <w:sz w:val="20"/>
        </w:rPr>
        <w:t>Leases</w:t>
      </w:r>
      <w:r>
        <w:rPr>
          <w:rFonts w:ascii="Times New Roman;serif" w:hAnsi="Times New Roman;serif"/>
          <w:b w:val="false"/>
          <w:sz w:val="20"/>
        </w:rPr>
        <w:t>, the Company was deemed, for accounting purposes only, to be the owner of the entire leased Facility, including the building shell, during the construction period because of the Company’s level of direct financial and operational involvement in the substantial tenant improvements, including structural improvements, required to build out the Facility. As a result, the Company capitalized approximately $26.3</w:t>
      </w:r>
      <w:r>
        <w:rPr>
          <w:rFonts w:ascii="Times New Roman" w:hAnsi="Times New Roman"/>
          <w:sz w:val="20"/>
        </w:rPr>
        <w:t xml:space="preserve"> </w:t>
      </w:r>
      <w:r>
        <w:rPr>
          <w:rFonts w:ascii="Times New Roman;serif" w:hAnsi="Times New Roman;serif"/>
          <w:b w:val="false"/>
          <w:sz w:val="20"/>
        </w:rPr>
        <w:t>million as a build-to-suit asset within property, plant and equipment, net and recognized a corresponding build-to-suit lease financing obligation as a liability on its consolidated balance sheets equal to the fair value of the existing building shell using comparable market prices per square foot for similar space for public real estate transactions in the surrounding area at commencement of construction. Additionally, construction costs incurred as part of the build-out and tenant improvements were also capitalized within property, plant and equipment, net. Costs of approximately $45.8</w:t>
      </w:r>
      <w:r>
        <w:rPr>
          <w:rFonts w:ascii="Times New Roman" w:hAnsi="Times New Roman"/>
          <w:sz w:val="20"/>
        </w:rPr>
        <w:t xml:space="preserve"> </w:t>
      </w:r>
      <w:r>
        <w:rPr>
          <w:rFonts w:ascii="Times New Roman;serif" w:hAnsi="Times New Roman;serif"/>
          <w:b w:val="false"/>
          <w:sz w:val="20"/>
        </w:rPr>
        <w:t>million were capitalized during the year ended December 31, 2021, related to both equipment purchases and the build-out of the leased Facility. As part of its adoption of ASC 842, the Company de-recognized the building asset and corresponding financing obligation recorded on the Company’s consolidated balance sheets as of January 1, 2022, in accordance with the ASC 842 transition guidance.</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Summary of all lease costs recognized under ASC 842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summarizes the lease costs recognized under ASC 842 and other information pertaining to the Company's operating leases for the year ended December 31, 2022 (in thousands):</w:t>
      </w:r>
    </w:p>
    <w:p>
      <w:pPr>
        <w:pStyle w:val="TextBody"/>
        <w:spacing w:before="240" w:after="0"/>
        <w:jc w:val="left"/>
        <w:rPr/>
      </w:pPr>
      <w:r>
        <w:rPr/>
        <w:t> </w:t>
      </w:r>
    </w:p>
    <w:tbl>
      <w:tblPr>
        <w:tblW w:w="4932" w:type="dxa"/>
        <w:jc w:val="left"/>
        <w:tblInd w:w="0" w:type="dxa"/>
        <w:tblCellMar>
          <w:top w:w="28" w:type="dxa"/>
          <w:left w:w="28" w:type="dxa"/>
          <w:bottom w:w="28" w:type="dxa"/>
          <w:right w:w="28" w:type="dxa"/>
        </w:tblCellMar>
      </w:tblPr>
      <w:tblGrid>
        <w:gridCol w:w="1756"/>
        <w:gridCol w:w="802"/>
        <w:gridCol w:w="2183"/>
        <w:gridCol w:w="191"/>
      </w:tblGrid>
      <w:tr>
        <w:trPr/>
        <w:tc>
          <w:tcPr>
            <w:tcW w:w="1756"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56" w:type="dxa"/>
            <w:tcBorders/>
            <w:shd w:fill="auto" w:val="clear"/>
            <w:vAlign w:val="center"/>
          </w:tcPr>
          <w:p>
            <w:pPr>
              <w:pStyle w:val="TableContents"/>
              <w:spacing w:before="0" w:after="0"/>
              <w:ind w:left="0" w:right="0" w:hanging="0"/>
              <w:jc w:val="left"/>
              <w:rPr/>
            </w:pPr>
            <w:r>
              <w:rPr/>
              <w:t> </w:t>
            </w:r>
          </w:p>
        </w:tc>
        <w:tc>
          <w:tcPr>
            <w:tcW w:w="298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 2022</w:t>
            </w:r>
          </w:p>
        </w:tc>
        <w:tc>
          <w:tcPr>
            <w:tcW w:w="191" w:type="dxa"/>
            <w:tcBorders/>
            <w:shd w:fill="auto" w:val="clear"/>
            <w:vAlign w:val="center"/>
          </w:tcPr>
          <w:p>
            <w:pPr>
              <w:pStyle w:val="TableContents"/>
              <w:spacing w:before="0" w:after="0"/>
              <w:ind w:left="0" w:right="0" w:hanging="0"/>
              <w:jc w:val="center"/>
              <w:rPr/>
            </w:pPr>
            <w:r>
              <w:rPr/>
              <w:t> </w:t>
            </w:r>
          </w:p>
        </w:tc>
      </w:tr>
      <w:tr>
        <w:trPr/>
        <w:tc>
          <w:tcPr>
            <w:tcW w:w="1756" w:type="dxa"/>
            <w:tcBorders/>
            <w:shd w:fill="auto" w:val="clear"/>
            <w:vAlign w:val="center"/>
          </w:tcPr>
          <w:p>
            <w:pPr>
              <w:pStyle w:val="TableContents"/>
              <w:spacing w:before="0" w:after="0"/>
              <w:ind w:left="0" w:right="0" w:hanging="0"/>
              <w:jc w:val="left"/>
              <w:rPr/>
            </w:pPr>
            <w:r>
              <w:rPr/>
              <w:t> </w:t>
            </w:r>
          </w:p>
        </w:tc>
        <w:tc>
          <w:tcPr>
            <w:tcW w:w="298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8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2,873</w:t>
            </w:r>
          </w:p>
        </w:tc>
        <w:tc>
          <w:tcPr>
            <w:tcW w:w="191" w:type="dxa"/>
            <w:tcBorders/>
            <w:shd w:fill="auto" w:val="cle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8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Supplemental information related to the remaining lease term and discount rate are as follows:</w:t>
      </w:r>
    </w:p>
    <w:p>
      <w:pPr>
        <w:pStyle w:val="TextBody"/>
        <w:spacing w:before="240" w:after="0"/>
        <w:jc w:val="left"/>
        <w:rPr/>
      </w:pPr>
      <w:r>
        <w:rPr/>
        <w:t> </w:t>
      </w:r>
    </w:p>
    <w:tbl>
      <w:tblPr>
        <w:tblW w:w="7783" w:type="dxa"/>
        <w:jc w:val="left"/>
        <w:tblInd w:w="0" w:type="dxa"/>
        <w:tblCellMar>
          <w:top w:w="28" w:type="dxa"/>
          <w:left w:w="28" w:type="dxa"/>
          <w:bottom w:w="28" w:type="dxa"/>
          <w:right w:w="28" w:type="dxa"/>
        </w:tblCellMar>
      </w:tblPr>
      <w:tblGrid>
        <w:gridCol w:w="5596"/>
        <w:gridCol w:w="146"/>
        <w:gridCol w:w="350"/>
        <w:gridCol w:w="1375"/>
        <w:gridCol w:w="316"/>
      </w:tblGrid>
      <w:tr>
        <w:trPr/>
        <w:tc>
          <w:tcPr>
            <w:tcW w:w="5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(in years) - Finance leases</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13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w:t>
            </w:r>
          </w:p>
        </w:tc>
        <w:tc>
          <w:tcPr>
            <w:tcW w:w="316" w:type="dxa"/>
            <w:tcBorders/>
            <w:shd w:fill="auto" w:val="clear"/>
            <w:vAlign w:val="center"/>
          </w:tcPr>
          <w:p>
            <w:pPr>
              <w:pStyle w:val="TableContents"/>
              <w:spacing w:before="0" w:after="0"/>
              <w:ind w:left="0" w:right="0" w:hanging="0"/>
              <w:jc w:val="left"/>
              <w:rPr/>
            </w:pPr>
            <w:r>
              <w:rPr/>
              <w:t> </w:t>
            </w:r>
          </w:p>
        </w:tc>
      </w:tr>
      <w:tr>
        <w:trPr/>
        <w:tc>
          <w:tcPr>
            <w:tcW w:w="5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(in years) - Operating leases</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13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w:t>
            </w:r>
          </w:p>
        </w:tc>
        <w:tc>
          <w:tcPr>
            <w:tcW w:w="316" w:type="dxa"/>
            <w:tcBorders/>
            <w:shd w:fill="auto" w:val="clear"/>
            <w:vAlign w:val="center"/>
          </w:tcPr>
          <w:p>
            <w:pPr>
              <w:pStyle w:val="TableContents"/>
              <w:spacing w:before="0" w:after="0"/>
              <w:ind w:left="0" w:right="0" w:hanging="0"/>
              <w:jc w:val="left"/>
              <w:rPr/>
            </w:pPr>
            <w:r>
              <w:rPr/>
              <w:t> </w:t>
            </w:r>
          </w:p>
        </w:tc>
      </w:tr>
      <w:tr>
        <w:trPr/>
        <w:tc>
          <w:tcPr>
            <w:tcW w:w="5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5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 - Finance leases</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13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 - Operating leases</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13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F-14</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Supplemental cash flow information related to the Company's operating leases are as follows (in thousands):</w:t>
      </w:r>
    </w:p>
    <w:p>
      <w:pPr>
        <w:pStyle w:val="TextBody"/>
        <w:spacing w:before="240" w:after="0"/>
        <w:jc w:val="left"/>
        <w:rPr/>
      </w:pPr>
      <w:r>
        <w:rPr/>
        <w:t> </w:t>
      </w:r>
    </w:p>
    <w:tbl>
      <w:tblPr>
        <w:tblW w:w="6987" w:type="dxa"/>
        <w:jc w:val="left"/>
        <w:tblInd w:w="0" w:type="dxa"/>
        <w:tblCellMar>
          <w:top w:w="28" w:type="dxa"/>
          <w:left w:w="28" w:type="dxa"/>
          <w:bottom w:w="28" w:type="dxa"/>
          <w:right w:w="28" w:type="dxa"/>
        </w:tblCellMar>
      </w:tblPr>
      <w:tblGrid>
        <w:gridCol w:w="3436"/>
        <w:gridCol w:w="905"/>
        <w:gridCol w:w="2455"/>
        <w:gridCol w:w="191"/>
      </w:tblGrid>
      <w:tr>
        <w:trPr/>
        <w:tc>
          <w:tcPr>
            <w:tcW w:w="3436"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245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jc w:val="left"/>
              <w:rPr/>
            </w:pPr>
            <w:r>
              <w:rPr/>
              <w:t> </w:t>
            </w:r>
          </w:p>
        </w:tc>
        <w:tc>
          <w:tcPr>
            <w:tcW w:w="33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 ended 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cash flows for operating leases</w:t>
            </w:r>
          </w:p>
        </w:tc>
        <w:tc>
          <w:tcPr>
            <w:tcW w:w="9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December 31, 2022, future minimum commitments under ASC 842 under the Company's operating and finance leases were as follows (in thousands):</w:t>
      </w:r>
    </w:p>
    <w:p>
      <w:pPr>
        <w:pStyle w:val="TextBody"/>
        <w:spacing w:before="0" w:after="0"/>
        <w:jc w:val="left"/>
        <w:rPr/>
      </w:pPr>
      <w:r>
        <w:rPr/>
        <w:t> </w:t>
      </w:r>
    </w:p>
    <w:tbl>
      <w:tblPr>
        <w:tblW w:w="4581" w:type="dxa"/>
        <w:jc w:val="left"/>
        <w:tblInd w:w="0" w:type="dxa"/>
        <w:tblCellMar>
          <w:top w:w="28" w:type="dxa"/>
          <w:left w:w="28" w:type="dxa"/>
          <w:bottom w:w="28" w:type="dxa"/>
          <w:right w:w="28" w:type="dxa"/>
        </w:tblCellMar>
      </w:tblPr>
      <w:tblGrid>
        <w:gridCol w:w="2446"/>
        <w:gridCol w:w="217"/>
        <w:gridCol w:w="759"/>
        <w:gridCol w:w="166"/>
        <w:gridCol w:w="211"/>
        <w:gridCol w:w="571"/>
        <w:gridCol w:w="211"/>
      </w:tblGrid>
      <w:tr>
        <w:trPr/>
        <w:tc>
          <w:tcPr>
            <w:tcW w:w="24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4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Year Ending December 31,</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Operating</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Finance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2,819</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w:t>
            </w:r>
          </w:p>
        </w:tc>
        <w:tc>
          <w:tcPr>
            <w:tcW w:w="21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w:t>
            </w:r>
          </w:p>
        </w:tc>
        <w:tc>
          <w:tcPr>
            <w:tcW w:w="21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w:t>
            </w:r>
          </w:p>
        </w:tc>
        <w:tc>
          <w:tcPr>
            <w:tcW w:w="21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21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2,577</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1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33,541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1,760</w:t>
            </w:r>
          </w:p>
        </w:tc>
        <w:tc>
          <w:tcPr>
            <w:tcW w:w="21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current</w:t>
            </w:r>
          </w:p>
        </w:tc>
        <w:tc>
          <w:tcPr>
            <w:tcW w:w="217"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21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non-current</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2021, the Company signed a lease agreement pursuant to which the Company will lease equipment to generate its supply of electricity, which has not yet commenced for accounting purposes as of December 31, 2022. This lease agreement provides for total remaining lease payments of $3.5</w:t>
      </w:r>
      <w:r>
        <w:rPr>
          <w:rFonts w:ascii="Times New Roman" w:hAnsi="Times New Roman"/>
          <w:sz w:val="20"/>
        </w:rPr>
        <w:t xml:space="preserve"> </w:t>
      </w:r>
      <w:r>
        <w:rPr>
          <w:rFonts w:ascii="Times New Roman;serif" w:hAnsi="Times New Roman;serif"/>
          <w:b w:val="false"/>
          <w:sz w:val="20"/>
        </w:rPr>
        <w:t>million over the 10-year lease term, which is not included in the maturity table above.</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The following table summarizes aggregate lease commitments as of December 31, 2021 (in thousands) under ASC 840:</w:t>
      </w:r>
    </w:p>
    <w:p>
      <w:pPr>
        <w:pStyle w:val="TextBody"/>
        <w:spacing w:before="160" w:after="0"/>
        <w:jc w:val="left"/>
        <w:rPr/>
      </w:pPr>
      <w:r>
        <w:rPr/>
        <w:t> </w:t>
      </w:r>
    </w:p>
    <w:tbl>
      <w:tblPr>
        <w:tblW w:w="3565" w:type="dxa"/>
        <w:jc w:val="left"/>
        <w:tblInd w:w="0" w:type="dxa"/>
        <w:tblCellMar>
          <w:top w:w="28" w:type="dxa"/>
          <w:left w:w="28" w:type="dxa"/>
          <w:bottom w:w="28" w:type="dxa"/>
          <w:right w:w="28" w:type="dxa"/>
        </w:tblCellMar>
      </w:tblPr>
      <w:tblGrid>
        <w:gridCol w:w="2341"/>
        <w:gridCol w:w="146"/>
        <w:gridCol w:w="211"/>
        <w:gridCol w:w="676"/>
        <w:gridCol w:w="191"/>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Year Ending December 31,</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4,848</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4,201</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4,301</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4,372</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3,868</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30,563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Commitments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52,153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180" w:after="0"/>
        <w:jc w:val="left"/>
        <w:rPr>
          <w:rFonts w:ascii="Times New Roman;serif" w:hAnsi="Times New Roman;serif"/>
          <w:b/>
          <w:sz w:val="20"/>
        </w:rPr>
      </w:pPr>
      <w:r>
        <w:rPr>
          <w:rFonts w:ascii="Times New Roman;serif" w:hAnsi="Times New Roman;serif"/>
          <w:b/>
          <w:sz w:val="20"/>
        </w:rPr>
        <w:t>Note 5 – Loan with Silicon Valley Bank</w:t>
      </w:r>
    </w:p>
    <w:p>
      <w:pPr>
        <w:pStyle w:val="TextBody"/>
        <w:spacing w:before="120" w:after="0"/>
        <w:jc w:val="left"/>
        <w:rPr>
          <w:rFonts w:ascii="Times New Roman" w:hAnsi="Times New Roman"/>
          <w:sz w:val="20"/>
        </w:rPr>
      </w:pPr>
      <w:r>
        <w:rPr>
          <w:rFonts w:ascii="Times New Roman;serif" w:hAnsi="Times New Roman;serif"/>
          <w:b w:val="false"/>
          <w:sz w:val="20"/>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provides for (i) on the Closing Date, $40.0</w:t>
      </w:r>
      <w:r>
        <w:rPr>
          <w:rFonts w:ascii="Times New Roman" w:hAnsi="Times New Roman"/>
          <w:sz w:val="20"/>
        </w:rPr>
        <w:t xml:space="preserve"> </w:t>
      </w:r>
      <w:r>
        <w:rPr>
          <w:rFonts w:ascii="Times New Roman;serif" w:hAnsi="Times New Roman;serif"/>
          <w:b w:val="false"/>
          <w:sz w:val="20"/>
        </w:rPr>
        <w:t>million aggregate principal amount of term loans available through December 31, 2021, (ii) from January 1, 2022</w:t>
      </w:r>
      <w:r>
        <w:rPr>
          <w:rFonts w:ascii="Times New Roman" w:hAnsi="Times New Roman"/>
          <w:sz w:val="20"/>
        </w:rPr>
        <w:t xml:space="preserve"> </w:t>
      </w:r>
      <w:r>
        <w:rPr>
          <w:rFonts w:ascii="Times New Roman;serif" w:hAnsi="Times New Roman;serif"/>
          <w:b w:val="false"/>
          <w:sz w:val="20"/>
        </w:rPr>
        <w:t>until September 30, 2022, an additional $20.0</w:t>
      </w:r>
      <w:r>
        <w:rPr>
          <w:rFonts w:ascii="Times New Roman" w:hAnsi="Times New Roman"/>
          <w:sz w:val="20"/>
        </w:rPr>
        <w:t xml:space="preserve"> </w:t>
      </w:r>
      <w:r>
        <w:rPr>
          <w:rFonts w:ascii="Times New Roman;serif" w:hAnsi="Times New Roman;serif"/>
          <w:b w:val="false"/>
          <w:sz w:val="20"/>
        </w:rPr>
        <w:t>million term loan facility available at the Company’s option upon having three</w:t>
      </w:r>
      <w:r>
        <w:rPr>
          <w:rFonts w:ascii="Times New Roman" w:hAnsi="Times New Roman"/>
          <w:sz w:val="20"/>
        </w:rPr>
        <w:t xml:space="preserve"> </w:t>
      </w:r>
      <w:r>
        <w:rPr>
          <w:rFonts w:ascii="Times New Roman;serif" w:hAnsi="Times New Roman;serif"/>
          <w:b w:val="false"/>
          <w:sz w:val="20"/>
        </w:rPr>
        <w:t>distinct and active clinical stage programs, determined at the discretion of the Agent, at the time of draw, (iii) from October 1, 2022</w:t>
      </w:r>
      <w:r>
        <w:rPr>
          <w:rFonts w:ascii="Times New Roman" w:hAnsi="Times New Roman"/>
          <w:sz w:val="20"/>
        </w:rPr>
        <w:t xml:space="preserve"> </w:t>
      </w:r>
      <w:r>
        <w:rPr>
          <w:rFonts w:ascii="Times New Roman;serif" w:hAnsi="Times New Roman;serif"/>
          <w:b w:val="false"/>
          <w:sz w:val="20"/>
        </w:rPr>
        <w:t>until March 31, 2023, an additional $20.0</w:t>
      </w:r>
      <w:r>
        <w:rPr>
          <w:rFonts w:ascii="Times New Roman" w:hAnsi="Times New Roman"/>
          <w:sz w:val="20"/>
        </w:rPr>
        <w:t xml:space="preserve"> </w:t>
      </w:r>
      <w:r>
        <w:rPr>
          <w:rFonts w:ascii="Times New Roman;serif" w:hAnsi="Times New Roman;serif"/>
          <w:b w:val="false"/>
          <w:sz w:val="20"/>
        </w:rPr>
        <w:t>million term loan facility available at the Company’s option upon having three</w:t>
      </w:r>
      <w:r>
        <w:rPr>
          <w:rFonts w:ascii="Times New Roman" w:hAnsi="Times New Roman"/>
          <w:sz w:val="20"/>
        </w:rPr>
        <w:t xml:space="preserve"> </w:t>
      </w:r>
      <w:r>
        <w:rPr>
          <w:rFonts w:ascii="Times New Roman;serif" w:hAnsi="Times New Roman;serif"/>
          <w:b w:val="false"/>
          <w:sz w:val="20"/>
        </w:rPr>
        <w:t>distinct and active clinical stage programs, determined at the discretion of the Agent, at the time of draw and (iv) from April 1, 2023</w:t>
      </w:r>
      <w:r>
        <w:rPr>
          <w:rFonts w:ascii="Times New Roman" w:hAnsi="Times New Roman"/>
          <w:sz w:val="20"/>
        </w:rPr>
        <w:t xml:space="preserve"> </w:t>
      </w:r>
      <w:r>
        <w:rPr>
          <w:rFonts w:ascii="Times New Roman;serif" w:hAnsi="Times New Roman;serif"/>
          <w:b w:val="false"/>
          <w:sz w:val="20"/>
        </w:rPr>
        <w:t>until December 31, 2023, an additional $20.0</w:t>
      </w:r>
      <w:r>
        <w:rPr>
          <w:rFonts w:ascii="Times New Roman" w:hAnsi="Times New Roman"/>
          <w:sz w:val="20"/>
        </w:rPr>
        <w:t xml:space="preserve"> </w:t>
      </w:r>
      <w:r>
        <w:rPr>
          <w:rFonts w:ascii="Times New Roman;serif" w:hAnsi="Times New Roman;serif"/>
          <w:b w:val="false"/>
          <w:sz w:val="20"/>
        </w:rPr>
        <w:t>million term loan facility available upon approval by the Agent and the Lenders (collectively, the “Term Loans”). The Company drew $30.0</w:t>
      </w:r>
      <w:r>
        <w:rPr>
          <w:rFonts w:ascii="Times New Roman" w:hAnsi="Times New Roman"/>
          <w:sz w:val="20"/>
        </w:rPr>
        <w:t xml:space="preserve"> </w:t>
      </w:r>
      <w:r>
        <w:rPr>
          <w:rFonts w:ascii="Times New Roman;serif" w:hAnsi="Times New Roman;serif"/>
          <w:b w:val="false"/>
          <w:sz w:val="20"/>
        </w:rPr>
        <w:t>million in term loans on the Closing Date and $10.0</w:t>
      </w:r>
      <w:r>
        <w:rPr>
          <w:rFonts w:ascii="Times New Roman" w:hAnsi="Times New Roman"/>
          <w:sz w:val="20"/>
        </w:rPr>
        <w:t xml:space="preserve"> </w:t>
      </w:r>
      <w:r>
        <w:rPr>
          <w:rFonts w:ascii="Times New Roman;serif" w:hAnsi="Times New Roman;serif"/>
          <w:b w:val="false"/>
          <w:sz w:val="20"/>
        </w:rPr>
        <w:t>million in term loans in December 2021. The Company did not draw on the additional $20.0</w:t>
      </w:r>
      <w:r>
        <w:rPr>
          <w:rFonts w:ascii="Times New Roman" w:hAnsi="Times New Roman"/>
          <w:sz w:val="20"/>
        </w:rPr>
        <w:t xml:space="preserve"> </w:t>
      </w:r>
      <w:r>
        <w:rPr>
          <w:rFonts w:ascii="Times New Roman;serif" w:hAnsi="Times New Roman;serif"/>
          <w:b w:val="false"/>
          <w:sz w:val="20"/>
        </w:rPr>
        <w:t>million tranche prior to its expiration on September 30,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interest rate applicable to the Term Loans is the greater of (a) the WSJ Prime Rate plus 3.75% or (b) 7.00% per annum. As of December 31, 2022, the interest rate was 11.25%. The Term Loans are interest only from the Closing Date through August 31, 2024, after which the Company is required to pay equal monthly installments of principal through August 1, 2026, the maturity date.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F-15</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200"/>
        <w:jc w:val="left"/>
        <w:rPr>
          <w:rFonts w:ascii="Times New Roman" w:hAnsi="Times New Roman"/>
          <w:sz w:val="20"/>
        </w:rPr>
      </w:pPr>
      <w:r>
        <w:rPr>
          <w:rFonts w:ascii="Times New Roman;serif" w:hAnsi="Times New Roman;serif"/>
          <w:b w:val="false"/>
          <w:sz w:val="20"/>
        </w:rPr>
        <w:t>The Term Loans could have been prepaid in full through August 12, 2022 with payment of a 2.00% prepayment premium, after which they may be prepaid in full through August 12, 2023 with payment of a 1.00% prepayment premium, after which they may be prepaid in full with no prepayment premium. An additional final payment of 7.5% of the amount of Terms Loans advanced by the Lenders (“Exit Fee”) will be due upon prepayment or repayment of the Term Loans in full. The Exit Fee of $3.0</w:t>
      </w:r>
      <w:r>
        <w:rPr>
          <w:rFonts w:ascii="Times New Roman" w:hAnsi="Times New Roman"/>
          <w:sz w:val="20"/>
        </w:rPr>
        <w:t xml:space="preserve"> </w:t>
      </w:r>
      <w:r>
        <w:rPr>
          <w:rFonts w:ascii="Times New Roman;serif" w:hAnsi="Times New Roman;serif"/>
          <w:b w:val="false"/>
          <w:sz w:val="20"/>
        </w:rPr>
        <w:t>million was recorded as debt discount and has also been fully accrued within non-current liabilities as of December 31, 2022. The debt discount is being accreted using the effective interest method over the term of the Term Loans within interest expense in the consolidated statements of operations.</w:t>
      </w:r>
    </w:p>
    <w:p>
      <w:pPr>
        <w:pStyle w:val="TextBody"/>
        <w:spacing w:before="240" w:after="0"/>
        <w:jc w:val="left"/>
        <w:rPr>
          <w:rFonts w:ascii="Times New Roman" w:hAnsi="Times New Roman"/>
          <w:sz w:val="20"/>
        </w:rPr>
      </w:pPr>
      <w:r>
        <w:rPr>
          <w:rFonts w:ascii="Times New Roman;serif" w:hAnsi="Times New Roman;serif"/>
          <w:b w:val="false"/>
          <w:sz w:val="20"/>
        </w:rPr>
        <w:t>The obligations under the Term Loan Agreement are secured by a perfected security interest in all of the Company’s assets except for intellectual property and certain other customarily excluded property pursuant to the terms of the Term Loan Agreement. There are no financial covenants and no</w:t>
      </w:r>
      <w:r>
        <w:rPr>
          <w:rFonts w:ascii="Times New Roman" w:hAnsi="Times New Roman"/>
          <w:sz w:val="20"/>
        </w:rPr>
        <w:t xml:space="preserve"> </w:t>
      </w:r>
      <w:r>
        <w:rPr>
          <w:rFonts w:ascii="Times New Roman;serif" w:hAnsi="Times New Roman;serif"/>
          <w:b w:val="false"/>
          <w:sz w:val="20"/>
        </w:rPr>
        <w:t>warrants associated with the Term Loan Agreement. The Term Loan Agreement contains various covenants that limit the Company’s ability to engage in specified types of transactions without the consent of the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Term Loan Agreement also contains customary representations and warranties, and also includes customary events of default, including payment default, breach of covenants, change of control, and material adverse effects. The Company was in compliance with all covenants under the Term Loan Agreement as of December 31, 2022. Upon the occurrence of an event of default, a default interest rate of an additional 5% per annum may be applied to the outstanding loan balances, and the Lenders may declare all outstanding obligations immediately due and payable and exercise all of its rights and remedies as set forth in the Term Loan Agreement and under applicable law.</w:t>
      </w:r>
    </w:p>
    <w:p>
      <w:pPr>
        <w:pStyle w:val="TextBody"/>
        <w:spacing w:before="240" w:after="0"/>
        <w:jc w:val="left"/>
        <w:rPr>
          <w:rFonts w:ascii="Times New Roman" w:hAnsi="Times New Roman"/>
          <w:sz w:val="20"/>
        </w:rPr>
      </w:pPr>
      <w:r>
        <w:rPr>
          <w:rFonts w:ascii="Times New Roman;serif" w:hAnsi="Times New Roman;serif"/>
          <w:b w:val="false"/>
          <w:sz w:val="20"/>
        </w:rPr>
        <w:t>During the year ended December 31, 2022, the Company recognized interest expense related to the Term Loan of $3.7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Future principal debt payments on the Term Loan Agreement as of December 31, 2022 are as follows (in thousands):</w:t>
      </w:r>
    </w:p>
    <w:p>
      <w:pPr>
        <w:pStyle w:val="TextBody"/>
        <w:spacing w:before="0" w:after="0"/>
        <w:jc w:val="left"/>
        <w:rPr/>
      </w:pPr>
      <w:r>
        <w:rPr/>
        <w:t> </w:t>
      </w:r>
    </w:p>
    <w:tbl>
      <w:tblPr>
        <w:tblW w:w="3585" w:type="dxa"/>
        <w:jc w:val="left"/>
        <w:tblInd w:w="0" w:type="dxa"/>
        <w:tblCellMar>
          <w:top w:w="28" w:type="dxa"/>
          <w:left w:w="28" w:type="dxa"/>
          <w:bottom w:w="28" w:type="dxa"/>
          <w:right w:w="28" w:type="dxa"/>
        </w:tblCellMar>
      </w:tblPr>
      <w:tblGrid>
        <w:gridCol w:w="2341"/>
        <w:gridCol w:w="146"/>
        <w:gridCol w:w="211"/>
        <w:gridCol w:w="676"/>
        <w:gridCol w:w="211"/>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Year Ending December 31,</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6,667</w:t>
            </w:r>
          </w:p>
        </w:tc>
        <w:tc>
          <w:tcPr>
            <w:tcW w:w="21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21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13,333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principal payments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21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37,967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6—Astellas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October 21, 2022 (the “Effective Date”), the Company entered into the Option Agreement with 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GAN or any other gene therapy product for use in the treatment of GAN that is controlled by Taysha or any of its affiliates or with respect to which the Company or any of its affiliates controls intellectual property rights covering the exploitation thereof, or a GAN Product, and (B) under any intellectual property rights controlled by Taysha or any of its affiliates with respect to such exploitation (the “GAN Option”). Subject to certain extensions, the GAN Option is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and together with the GAN Option, each, an “Option”). Subject to certain extensions, the Rett Option is exercisable from the Effective Date through a specified period of time following Astellas’ receipt of (i) certain clinical data from the female pediatric trial and (ii) certain specified data with respect to TSHA-102,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F-16</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pStyle w:val="TextBody"/>
        <w:spacing w:before="240" w:after="0"/>
        <w:jc w:val="left"/>
        <w:rPr>
          <w:rFonts w:ascii="Times New Roman" w:hAnsi="Times New Roman"/>
          <w:sz w:val="20"/>
        </w:rPr>
      </w:pPr>
      <w:r>
        <w:rPr>
          <w:rFonts w:ascii="Times New Roman;serif" w:hAnsi="Times New Roman;serif"/>
          <w:b w:val="false"/>
          <w:sz w:val="20"/>
        </w:rPr>
        <w:t>As partial consideration for the rights granted to Astellas under the Option Agreement, Astellas paid the Company the Upfront Payment, which is $20.0</w:t>
      </w:r>
      <w:r>
        <w:rPr>
          <w:rFonts w:ascii="Times New Roman" w:hAnsi="Times New Roman"/>
          <w:sz w:val="20"/>
        </w:rPr>
        <w:t xml:space="preserve"> </w:t>
      </w:r>
      <w:r>
        <w:rPr>
          <w:rFonts w:ascii="Times New Roman;serif" w:hAnsi="Times New Roman;serif"/>
          <w:b w:val="false"/>
          <w:sz w:val="20"/>
        </w:rPr>
        <w:t>million.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Securities Purchase Agreement.</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Securities Purchase Agreement</w:t>
      </w:r>
    </w:p>
    <w:p>
      <w:pPr>
        <w:pStyle w:val="TextBody"/>
        <w:spacing w:before="120" w:after="0"/>
        <w:jc w:val="left"/>
        <w:rPr>
          <w:rFonts w:ascii="Times New Roman" w:hAnsi="Times New Roman"/>
          <w:sz w:val="20"/>
        </w:rPr>
      </w:pPr>
      <w:r>
        <w:rPr>
          <w:rFonts w:ascii="Times New Roman;serif" w:hAnsi="Times New Roman;serif"/>
          <w:b w:val="false"/>
          <w:sz w:val="20"/>
        </w:rPr>
        <w:t>On October 21, 2022, the Company entered into the Securities Purchase Agreement with Astellas, pursuant to which the Company agreed to issue and sell to Astellas in a private placement (the “Private Placement”), an aggregate of 7,266,342</w:t>
      </w:r>
      <w:r>
        <w:rPr>
          <w:rFonts w:ascii="Times New Roman" w:hAnsi="Times New Roman"/>
          <w:sz w:val="20"/>
        </w:rPr>
        <w:t xml:space="preserve"> </w:t>
      </w:r>
      <w:r>
        <w:rPr>
          <w:rFonts w:ascii="Times New Roman;serif" w:hAnsi="Times New Roman;serif"/>
          <w:b w:val="false"/>
          <w:sz w:val="20"/>
        </w:rPr>
        <w:t>shares (the “Private Placement Shares”), of its common stock, for aggregate gross proceeds of $30.0</w:t>
      </w:r>
      <w:r>
        <w:rPr>
          <w:rFonts w:ascii="Times New Roman" w:hAnsi="Times New Roman"/>
          <w:sz w:val="20"/>
        </w:rPr>
        <w:t xml:space="preserve"> </w:t>
      </w:r>
      <w:r>
        <w:rPr>
          <w:rFonts w:ascii="Times New Roman;serif" w:hAnsi="Times New Roman;serif"/>
          <w:b w:val="false"/>
          <w:sz w:val="20"/>
        </w:rPr>
        <w:t>million. The Private Placement closed on October 24, 2022. Pursuant to the Securities Purchase Agreement, in connection with the Private Placement, Astellas has the right to designate one individual to attend all meetings of the Board in a non-voting observer capacity. The Company also granted Astellas certain registration rights with respect to the Private Placement Shares.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Accounting Treatment</w:t>
      </w:r>
    </w:p>
    <w:p>
      <w:pPr>
        <w:pStyle w:val="TextBody"/>
        <w:spacing w:before="120" w:after="0"/>
        <w:jc w:val="left"/>
        <w:rPr>
          <w:rFonts w:ascii="Times New Roman" w:hAnsi="Times New Roman"/>
          <w:sz w:val="20"/>
        </w:rPr>
      </w:pPr>
      <w:r>
        <w:rPr>
          <w:rFonts w:ascii="Times New Roman;serif" w:hAnsi="Times New Roman;serif"/>
          <w:b w:val="false"/>
          <w:sz w:val="20"/>
        </w:rPr>
        <w:t>In October 2022, upon closing of the Private Placement and transferring the 7,266,342</w:t>
      </w:r>
      <w:r>
        <w:rPr>
          <w:rFonts w:ascii="Times New Roman" w:hAnsi="Times New Roman"/>
          <w:sz w:val="20"/>
        </w:rPr>
        <w:t xml:space="preserve"> </w:t>
      </w:r>
      <w:r>
        <w:rPr>
          <w:rFonts w:ascii="Times New Roman;serif" w:hAnsi="Times New Roman;serif"/>
          <w:b w:val="false"/>
          <w:sz w:val="20"/>
        </w:rPr>
        <w:t xml:space="preserve">shares to Astellas, the Company recorded the issuance of shares at fair value. Fair value of the shares transferred to Astellas was calculated in accordance with ASC 820, </w:t>
      </w:r>
      <w:r>
        <w:rPr>
          <w:rFonts w:ascii="Times New Roman;serif" w:hAnsi="Times New Roman;serif"/>
          <w:b w:val="false"/>
          <w:i/>
          <w:sz w:val="20"/>
        </w:rPr>
        <w:t xml:space="preserve">Fair Value Measurement </w:t>
      </w:r>
      <w:r>
        <w:rPr>
          <w:rFonts w:ascii="Times New Roman;serif" w:hAnsi="Times New Roman;serif"/>
          <w:b w:val="false"/>
          <w:sz w:val="20"/>
        </w:rPr>
        <w:t>by analyzing the Company's stock price for a short period of time prior to and after the transaction date as traded on the NASDAQ. The NASDAQ trading data is considered an active market and a Level 1 measurement under ASC 820. The fair value was determined to be approximately $13.95</w:t>
      </w:r>
      <w:r>
        <w:rPr>
          <w:rFonts w:ascii="Times New Roman" w:hAnsi="Times New Roman"/>
          <w:sz w:val="20"/>
        </w:rPr>
        <w:t xml:space="preserve"> </w:t>
      </w:r>
      <w:r>
        <w:rPr>
          <w:rFonts w:ascii="Times New Roman;serif" w:hAnsi="Times New Roman;serif"/>
          <w:b w:val="false"/>
          <w:sz w:val="20"/>
        </w:rPr>
        <w:t>million or $1.92</w:t>
      </w:r>
      <w:r>
        <w:rPr>
          <w:rFonts w:ascii="Times New Roman" w:hAnsi="Times New Roman"/>
          <w:sz w:val="20"/>
        </w:rPr>
        <w:t xml:space="preserve"> </w:t>
      </w:r>
      <w:r>
        <w:rPr>
          <w:rFonts w:ascii="Times New Roman;serif" w:hAnsi="Times New Roman;serif"/>
          <w:b w:val="false"/>
          <w:sz w:val="20"/>
        </w:rPr>
        <w:t>per share. The $16.1</w:t>
      </w:r>
      <w:r>
        <w:rPr>
          <w:rFonts w:ascii="Times New Roman" w:hAnsi="Times New Roman"/>
          <w:sz w:val="20"/>
        </w:rPr>
        <w:t xml:space="preserve"> </w:t>
      </w:r>
      <w:r>
        <w:rPr>
          <w:rFonts w:ascii="Times New Roman;serif" w:hAnsi="Times New Roman;serif"/>
          <w:b w:val="false"/>
          <w:sz w:val="20"/>
        </w:rPr>
        <w:t>million difference between the $30.0</w:t>
      </w:r>
      <w:r>
        <w:rPr>
          <w:rFonts w:ascii="Times New Roman" w:hAnsi="Times New Roman"/>
          <w:sz w:val="20"/>
        </w:rPr>
        <w:t xml:space="preserve"> </w:t>
      </w:r>
      <w:r>
        <w:rPr>
          <w:rFonts w:ascii="Times New Roman;serif" w:hAnsi="Times New Roman;serif"/>
          <w:b w:val="false"/>
          <w:sz w:val="20"/>
        </w:rPr>
        <w:t>million paid by Astellas and the fair market value of shares issued was allocated to the transaction price of the Option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The Company determined that the Option Agreement falls within the scope of ASC 606, </w:t>
      </w:r>
      <w:r>
        <w:rPr>
          <w:rFonts w:ascii="Times New Roman;serif" w:hAnsi="Times New Roman;serif"/>
          <w:b w:val="false"/>
          <w:i/>
          <w:sz w:val="20"/>
        </w:rPr>
        <w:t>Revenue from Contracts with Customers</w:t>
      </w:r>
      <w:r>
        <w:rPr>
          <w:rFonts w:ascii="Times New Roman" w:hAnsi="Times New Roman"/>
          <w:sz w:val="20"/>
        </w:rPr>
        <w:t xml:space="preserve"> </w:t>
      </w:r>
      <w:r>
        <w:rPr>
          <w:rFonts w:ascii="Times New Roman;serif" w:hAnsi="Times New Roman;serif"/>
          <w:b w:val="false"/>
          <w:sz w:val="20"/>
        </w:rPr>
        <w:t>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w:t>
      </w:r>
      <w:r>
        <w:rPr>
          <w:rFonts w:ascii="Times New Roman" w:hAnsi="Times New Roman"/>
          <w:sz w:val="20"/>
        </w:rPr>
        <w:t xml:space="preserve"> </w:t>
      </w:r>
      <w:r>
        <w:rPr>
          <w:rFonts w:ascii="Times New Roman;serif" w:hAnsi="Times New Roman;serif"/>
          <w:b w:val="false"/>
          <w:sz w:val="20"/>
        </w:rPr>
        <w:t>million which is comprised of the $20.0</w:t>
      </w:r>
      <w:r>
        <w:rPr>
          <w:rFonts w:ascii="Times New Roman" w:hAnsi="Times New Roman"/>
          <w:sz w:val="20"/>
        </w:rPr>
        <w:t xml:space="preserve"> </w:t>
      </w:r>
      <w:r>
        <w:rPr>
          <w:rFonts w:ascii="Times New Roman;serif" w:hAnsi="Times New Roman;serif"/>
          <w:b w:val="false"/>
          <w:sz w:val="20"/>
        </w:rPr>
        <w:t>million Upfront Payment and the $16.1</w:t>
      </w:r>
      <w:r>
        <w:rPr>
          <w:rFonts w:ascii="Times New Roman" w:hAnsi="Times New Roman"/>
          <w:sz w:val="20"/>
        </w:rPr>
        <w:t xml:space="preserve"> </w:t>
      </w:r>
      <w:r>
        <w:rPr>
          <w:rFonts w:ascii="Times New Roman;serif" w:hAnsi="Times New Roman;serif"/>
          <w:b w:val="false"/>
          <w:sz w:val="20"/>
        </w:rPr>
        <w:t>million allocated from the Private Placement.</w:t>
      </w:r>
    </w:p>
    <w:p>
      <w:pPr>
        <w:pStyle w:val="TextBody"/>
        <w:spacing w:before="240" w:after="0"/>
        <w:jc w:val="left"/>
        <w:rPr>
          <w:rFonts w:ascii="Times New Roman" w:hAnsi="Times New Roman"/>
          <w:sz w:val="20"/>
        </w:rPr>
      </w:pPr>
      <w:r>
        <w:rPr>
          <w:rFonts w:ascii="Times New Roman;serif" w:hAnsi="Times New Roman;serif"/>
          <w:b w:val="false"/>
          <w:sz w:val="20"/>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 plus margin approach. The standalone selling prices of the material rights and Rett research and development activities were then used to proportionately allocate the $36.1</w:t>
      </w:r>
      <w:r>
        <w:rPr>
          <w:rFonts w:ascii="Times New Roman" w:hAnsi="Times New Roman"/>
          <w:sz w:val="20"/>
        </w:rPr>
        <w:t xml:space="preserve"> </w:t>
      </w:r>
      <w:r>
        <w:rPr>
          <w:rFonts w:ascii="Times New Roman;serif" w:hAnsi="Times New Roman;serif"/>
          <w:b w:val="false"/>
          <w:sz w:val="20"/>
        </w:rPr>
        <w:t>million transaction price to the three performance obligations. The $36.1</w:t>
      </w:r>
      <w:r>
        <w:rPr>
          <w:rFonts w:ascii="Times New Roman" w:hAnsi="Times New Roman"/>
          <w:sz w:val="20"/>
        </w:rPr>
        <w:t xml:space="preserve"> </w:t>
      </w:r>
      <w:r>
        <w:rPr>
          <w:rFonts w:ascii="Times New Roman;serif" w:hAnsi="Times New Roman;serif"/>
          <w:b w:val="false"/>
          <w:sz w:val="20"/>
        </w:rPr>
        <w:t>million transaction price was recorded as deferred revenue on the consolidated balance sheet at the inception of the Astellas Transactions.</w:t>
      </w:r>
    </w:p>
    <w:p>
      <w:pPr>
        <w:pStyle w:val="TextBody"/>
        <w:spacing w:before="240" w:after="0"/>
        <w:jc w:val="left"/>
        <w:rPr>
          <w:rFonts w:ascii="Times New Roman" w:hAnsi="Times New Roman"/>
          <w:sz w:val="20"/>
        </w:rPr>
      </w:pPr>
      <w:r>
        <w:rPr>
          <w:rFonts w:ascii="Times New Roman;serif" w:hAnsi="Times New Roman;serif"/>
          <w:b w:val="false"/>
          <w:sz w:val="20"/>
        </w:rPr>
        <w:t>The following table summarizes the allocation of the transaction price to the three performance obligations at contract inception:</w:t>
      </w:r>
      <w:r>
        <w:rPr>
          <w:rFonts w:ascii="Times New Roman" w:hAnsi="Times New Roman"/>
          <w:sz w:val="20"/>
        </w:rPr>
        <w:t xml:space="preserve"> </w:t>
      </w:r>
    </w:p>
    <w:p>
      <w:pPr>
        <w:pStyle w:val="TextBody"/>
        <w:spacing w:before="24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F-17</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tbl>
      <w:tblPr>
        <w:tblW w:w="6148" w:type="dxa"/>
        <w:jc w:val="left"/>
        <w:tblInd w:w="0" w:type="dxa"/>
        <w:tblCellMar>
          <w:top w:w="28" w:type="dxa"/>
          <w:left w:w="28" w:type="dxa"/>
          <w:bottom w:w="28" w:type="dxa"/>
          <w:right w:w="28" w:type="dxa"/>
        </w:tblCellMar>
      </w:tblPr>
      <w:tblGrid>
        <w:gridCol w:w="3421"/>
        <w:gridCol w:w="146"/>
        <w:gridCol w:w="520"/>
        <w:gridCol w:w="1670"/>
        <w:gridCol w:w="391"/>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Transaction Price Allocation</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 to obtain license for Rett</w:t>
            </w:r>
          </w:p>
        </w:tc>
        <w:tc>
          <w:tcPr>
            <w:tcW w:w="146" w:type="dxa"/>
            <w:tcBorders/>
            <w:shd w:fill="auto" w:val="clear"/>
            <w:vAlign w:val="center"/>
          </w:tcPr>
          <w:p>
            <w:pPr>
              <w:pStyle w:val="TableContents"/>
              <w:spacing w:before="0" w:after="0"/>
              <w:ind w:left="0" w:right="0" w:hanging="0"/>
              <w:jc w:val="left"/>
              <w:rPr/>
            </w:pPr>
            <w:r>
              <w:rPr/>
              <w:t> </w:t>
            </w:r>
          </w:p>
        </w:tc>
        <w:tc>
          <w:tcPr>
            <w:tcW w:w="5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5,485</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 to obtain license for GAN</w:t>
            </w:r>
          </w:p>
        </w:tc>
        <w:tc>
          <w:tcPr>
            <w:tcW w:w="146" w:type="dxa"/>
            <w:tcBorders/>
            <w:shd w:fill="auto" w:val="clear"/>
            <w:vAlign w:val="center"/>
          </w:tcPr>
          <w:p>
            <w:pPr>
              <w:pStyle w:val="TableContents"/>
              <w:spacing w:before="0" w:after="0"/>
              <w:ind w:left="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6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2,317</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Rett research and development activities</w:t>
            </w:r>
          </w:p>
        </w:tc>
        <w:tc>
          <w:tcPr>
            <w:tcW w:w="146" w:type="dxa"/>
            <w:tcBorders/>
            <w:shd w:fill="auto" w:val="clear"/>
            <w:vAlign w:val="center"/>
          </w:tcPr>
          <w:p>
            <w:pPr>
              <w:pStyle w:val="TableContents"/>
              <w:spacing w:before="0" w:after="0"/>
              <w:ind w:left="0" w:right="0" w:hanging="0"/>
              <w:jc w:val="left"/>
              <w:rPr/>
            </w:pPr>
            <w:r>
              <w:rPr/>
              <w:t> </w:t>
            </w:r>
          </w:p>
        </w:tc>
        <w:tc>
          <w:tcPr>
            <w:tcW w:w="5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28,257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2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200" w:right="0" w:hanging="0"/>
              <w:jc w:val="left"/>
              <w:rPr/>
            </w:pPr>
            <w:r>
              <w:rPr/>
              <w:t> </w:t>
            </w:r>
          </w:p>
        </w:tc>
        <w:tc>
          <w:tcPr>
            <w:tcW w:w="5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36,059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 Research and development services related to this performance obligation are expected to be completed by the end of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year ended December 31, 2022, there were no significant changes to the total estimated costs to be incurred to satisfy the performance obligation associated with the Rett research and development activities.</w:t>
      </w:r>
    </w:p>
    <w:p>
      <w:pPr>
        <w:pStyle w:val="TextBody"/>
        <w:spacing w:before="240" w:after="0"/>
        <w:jc w:val="left"/>
        <w:rPr>
          <w:rFonts w:ascii="Times New Roman" w:hAnsi="Times New Roman"/>
          <w:sz w:val="20"/>
        </w:rPr>
      </w:pPr>
      <w:r>
        <w:rPr>
          <w:rFonts w:ascii="Times New Roman;serif" w:hAnsi="Times New Roman;serif"/>
          <w:b w:val="false"/>
          <w:sz w:val="20"/>
        </w:rPr>
        <w:t>The Company recognized revenue of $2.5</w:t>
      </w:r>
      <w:r>
        <w:rPr>
          <w:rFonts w:ascii="Times New Roman" w:hAnsi="Times New Roman"/>
          <w:sz w:val="20"/>
        </w:rPr>
        <w:t xml:space="preserve"> </w:t>
      </w:r>
      <w:r>
        <w:rPr>
          <w:rFonts w:ascii="Times New Roman;serif" w:hAnsi="Times New Roman;serif"/>
          <w:b w:val="false"/>
          <w:sz w:val="20"/>
        </w:rPr>
        <w:t>million from Rett research and development activities for the year ended December 31, 2022. The Company had $33.6</w:t>
      </w:r>
      <w:r>
        <w:rPr>
          <w:rFonts w:ascii="Times New Roman" w:hAnsi="Times New Roman"/>
          <w:sz w:val="20"/>
        </w:rPr>
        <w:t xml:space="preserve"> </w:t>
      </w:r>
      <w:r>
        <w:rPr>
          <w:rFonts w:ascii="Times New Roman;serif" w:hAnsi="Times New Roman;serif"/>
          <w:b w:val="false"/>
          <w:sz w:val="20"/>
        </w:rPr>
        <w:t>million of deferred revenue on the consolidated balance sheet as of December 31, 2022. The Company will recognize revenues for these performance obligations as they are satisfied, which for the Rett research and development activities is expected to occur over a period of 1.0</w:t>
      </w:r>
      <w:r>
        <w:rPr>
          <w:rFonts w:ascii="Times New Roman" w:hAnsi="Times New Roman"/>
          <w:sz w:val="20"/>
        </w:rPr>
        <w:t xml:space="preserve"> </w:t>
      </w:r>
      <w:r>
        <w:rPr>
          <w:rFonts w:ascii="Times New Roman;serif" w:hAnsi="Times New Roman;serif"/>
          <w:b w:val="false"/>
          <w:sz w:val="20"/>
        </w:rPr>
        <w:t>year from December 31, 2022.</w:t>
      </w:r>
    </w:p>
    <w:p>
      <w:pPr>
        <w:pStyle w:val="TextBody"/>
        <w:spacing w:before="4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7—Research, Collaboration, Grant and License Agreements</w:t>
      </w:r>
    </w:p>
    <w:p>
      <w:pPr>
        <w:pStyle w:val="TextBody"/>
        <w:spacing w:before="120" w:after="0"/>
        <w:jc w:val="left"/>
        <w:rPr>
          <w:rFonts w:ascii="Times New Roman;serif" w:hAnsi="Times New Roman;serif"/>
          <w:b/>
          <w:i/>
          <w:sz w:val="20"/>
        </w:rPr>
      </w:pPr>
      <w:r>
        <w:rPr>
          <w:rFonts w:ascii="Times New Roman;serif" w:hAnsi="Times New Roman;serif"/>
          <w:b/>
          <w:i/>
          <w:sz w:val="20"/>
        </w:rPr>
        <w:t>UT Southwestern Agreement</w:t>
      </w:r>
    </w:p>
    <w:p>
      <w:pPr>
        <w:pStyle w:val="TextBody"/>
        <w:spacing w:before="120" w:after="0"/>
        <w:jc w:val="left"/>
        <w:rPr>
          <w:rFonts w:ascii="Times New Roman" w:hAnsi="Times New Roman"/>
          <w:sz w:val="20"/>
        </w:rPr>
      </w:pPr>
      <w:r>
        <w:rPr>
          <w:rFonts w:ascii="Times New Roman;serif" w:hAnsi="Times New Roman;serif"/>
          <w:b w:val="false"/>
          <w:sz w:val="20"/>
        </w:rPr>
        <w:t>On November 19, 2019, the Company entered into a research, collaboration and license agreement (“UT Southwestern Agreement”) with the Board of Regents of the University of Texas System on behalf of The University of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w:t>
      </w:r>
      <w:r>
        <w:rPr>
          <w:rFonts w:ascii="Times New Roman" w:hAnsi="Times New Roman"/>
          <w:sz w:val="20"/>
        </w:rPr>
        <w:t xml:space="preserve"> </w:t>
      </w:r>
      <w:r>
        <w:rPr>
          <w:rFonts w:ascii="Times New Roman;serif" w:hAnsi="Times New Roman;serif"/>
          <w:b w:val="false"/>
          <w:sz w:val="20"/>
        </w:rPr>
        <w:t>period under mutually agreed upon sponsored research agreements that were entered into beginning in April 2020. During the initial research phase, the Company has the right to expand the scope of specified indications under the UT Southwestern Agreement.</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w:t>
      </w:r>
      <w:r>
        <w:rPr>
          <w:rFonts w:ascii="Times New Roman" w:hAnsi="Times New Roman"/>
          <w:sz w:val="20"/>
        </w:rPr>
        <w:t xml:space="preserve"> </w:t>
      </w:r>
      <w:r>
        <w:rPr>
          <w:rFonts w:ascii="Times New Roman;serif" w:hAnsi="Times New Roman;serif"/>
          <w:b w:val="false"/>
          <w:sz w:val="20"/>
        </w:rPr>
        <w:t>licensed product.</w:t>
      </w:r>
    </w:p>
    <w:p>
      <w:pPr>
        <w:pStyle w:val="TextBody"/>
        <w:spacing w:before="240" w:after="0"/>
        <w:jc w:val="left"/>
        <w:rPr>
          <w:rFonts w:ascii="Times New Roman" w:hAnsi="Times New Roman"/>
          <w:sz w:val="20"/>
        </w:rPr>
      </w:pPr>
      <w:r>
        <w:rPr>
          <w:rFonts w:ascii="Times New Roman;serif" w:hAnsi="Times New Roman;serif"/>
          <w:b w:val="false"/>
          <w:sz w:val="20"/>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November 2019, as partial consideration for the license rights granted under the UT Southwestern Agreement, the Company issued 2,179,000</w:t>
      </w:r>
      <w:r>
        <w:rPr>
          <w:rFonts w:ascii="Times New Roman" w:hAnsi="Times New Roman"/>
          <w:sz w:val="20"/>
        </w:rPr>
        <w:t xml:space="preserve"> </w:t>
      </w:r>
      <w:r>
        <w:rPr>
          <w:rFonts w:ascii="Times New Roman;serif" w:hAnsi="Times New Roman;serif"/>
          <w:b w:val="false"/>
          <w:sz w:val="20"/>
        </w:rPr>
        <w:t>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F-18</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360" w:after="0"/>
        <w:jc w:val="left"/>
        <w:rPr>
          <w:rFonts w:ascii="Times New Roman;serif" w:hAnsi="Times New Roman;serif"/>
          <w:b/>
          <w:i/>
          <w:sz w:val="20"/>
        </w:rPr>
      </w:pPr>
      <w:r>
        <w:rPr>
          <w:rFonts w:ascii="Times New Roman;serif" w:hAnsi="Times New Roman;serif"/>
          <w:b/>
          <w:i/>
          <w:sz w:val="20"/>
        </w:rPr>
        <w:t>Queen’s Agreement</w:t>
      </w:r>
    </w:p>
    <w:p>
      <w:pPr>
        <w:pStyle w:val="TextBody"/>
        <w:spacing w:before="120" w:after="0"/>
        <w:jc w:val="left"/>
        <w:rPr>
          <w:rFonts w:ascii="Times New Roman" w:hAnsi="Times New Roman"/>
          <w:sz w:val="20"/>
        </w:rPr>
      </w:pPr>
      <w:r>
        <w:rPr>
          <w:rFonts w:ascii="Times New Roman;serif" w:hAnsi="Times New Roman;serif"/>
          <w:b w:val="false"/>
          <w:sz w:val="20"/>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w:t>
      </w:r>
      <w:r>
        <w:rPr>
          <w:rFonts w:ascii="Times New Roman" w:hAnsi="Times New Roman"/>
          <w:sz w:val="20"/>
        </w:rPr>
        <w:t xml:space="preserve"> </w:t>
      </w:r>
      <w:r>
        <w:rPr>
          <w:rFonts w:ascii="Times New Roman;serif" w:hAnsi="Times New Roman;serif"/>
          <w:b w:val="false"/>
          <w:sz w:val="20"/>
        </w:rPr>
        <w:t>million in April 2020 which is recorded in research and development expenses in the consolidated statements of operations since the acquired license does not have an alternative future use. The Company is obligated to make aggregate cash payments of up to $10.0</w:t>
      </w:r>
      <w:r>
        <w:rPr>
          <w:rFonts w:ascii="Times New Roman" w:hAnsi="Times New Roman"/>
          <w:sz w:val="20"/>
        </w:rPr>
        <w:t xml:space="preserve"> </w:t>
      </w:r>
      <w:r>
        <w:rPr>
          <w:rFonts w:ascii="Times New Roman;serif" w:hAnsi="Times New Roman;serif"/>
          <w:b w:val="false"/>
          <w:sz w:val="20"/>
        </w:rPr>
        <w:t>million upon the completion of a combination of regulatory milestones and up to $10.0</w:t>
      </w:r>
      <w:r>
        <w:rPr>
          <w:rFonts w:ascii="Times New Roman" w:hAnsi="Times New Roman"/>
          <w:sz w:val="20"/>
        </w:rPr>
        <w:t xml:space="preserve"> </w:t>
      </w:r>
      <w:r>
        <w:rPr>
          <w:rFonts w:ascii="Times New Roman;serif" w:hAnsi="Times New Roman;serif"/>
          <w:b w:val="false"/>
          <w:sz w:val="20"/>
        </w:rPr>
        <w:t>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additional milestone payments were made in connection with the Queen’s Agreement during the years ended December 31, 2022 and 2021.</w:t>
      </w:r>
    </w:p>
    <w:p>
      <w:pPr>
        <w:pStyle w:val="TextBody"/>
        <w:spacing w:before="360" w:after="0"/>
        <w:jc w:val="left"/>
        <w:rPr>
          <w:rFonts w:ascii="Times New Roman;serif" w:hAnsi="Times New Roman;serif"/>
          <w:b/>
          <w:i/>
          <w:sz w:val="20"/>
        </w:rPr>
      </w:pPr>
      <w:r>
        <w:rPr>
          <w:rFonts w:ascii="Times New Roman;serif" w:hAnsi="Times New Roman;serif"/>
          <w:b/>
          <w:i/>
          <w:sz w:val="20"/>
        </w:rPr>
        <w:t>Abeona CLN1 Agreements</w:t>
      </w:r>
    </w:p>
    <w:p>
      <w:pPr>
        <w:pStyle w:val="TextBody"/>
        <w:spacing w:before="120" w:after="0"/>
        <w:jc w:val="left"/>
        <w:rPr>
          <w:rFonts w:ascii="Times New Roman" w:hAnsi="Times New Roman"/>
          <w:sz w:val="20"/>
        </w:rPr>
      </w:pPr>
      <w:r>
        <w:rPr>
          <w:rFonts w:ascii="Times New Roman;serif" w:hAnsi="Times New Roman;serif"/>
          <w:b w:val="false"/>
          <w:sz w:val="20"/>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w:t>
      </w:r>
      <w:r>
        <w:rPr>
          <w:rFonts w:ascii="Times New Roman" w:hAnsi="Times New Roman"/>
          <w:sz w:val="20"/>
        </w:rPr>
        <w:t xml:space="preserve"> </w:t>
      </w:r>
      <w:r>
        <w:rPr>
          <w:rFonts w:ascii="Times New Roman;serif" w:hAnsi="Times New Roman;serif"/>
          <w:b w:val="false"/>
          <w:sz w:val="20"/>
        </w:rPr>
        <w:t>million for the license fee and $4.0</w:t>
      </w:r>
      <w:r>
        <w:rPr>
          <w:rFonts w:ascii="Times New Roman" w:hAnsi="Times New Roman"/>
          <w:sz w:val="20"/>
        </w:rPr>
        <w:t xml:space="preserve"> </w:t>
      </w:r>
      <w:r>
        <w:rPr>
          <w:rFonts w:ascii="Times New Roman;serif" w:hAnsi="Times New Roman;serif"/>
          <w:b w:val="false"/>
          <w:sz w:val="20"/>
        </w:rPr>
        <w:t>million for purchase of clinical materials and reimbursement for previously incurred development costs in October 2020. In exchange for the license rights, the Company recorded an aggregate of $7.0</w:t>
      </w:r>
      <w:r>
        <w:rPr>
          <w:rFonts w:ascii="Times New Roman" w:hAnsi="Times New Roman"/>
          <w:sz w:val="20"/>
        </w:rPr>
        <w:t xml:space="preserve"> </w:t>
      </w:r>
      <w:r>
        <w:rPr>
          <w:rFonts w:ascii="Times New Roman;serif" w:hAnsi="Times New Roman;serif"/>
          <w:b w:val="false"/>
          <w:sz w:val="20"/>
        </w:rPr>
        <w:t>million within research and development expenses in the consolidated statements of operations for the year ended December 31, 2020 since the acquired license or acquired inventory do not have an alternative future use. The Company is obligated to make up to $26.0</w:t>
      </w:r>
      <w:r>
        <w:rPr>
          <w:rFonts w:ascii="Times New Roman" w:hAnsi="Times New Roman"/>
          <w:sz w:val="20"/>
        </w:rPr>
        <w:t xml:space="preserve"> </w:t>
      </w:r>
      <w:r>
        <w:rPr>
          <w:rFonts w:ascii="Times New Roman;serif" w:hAnsi="Times New Roman;serif"/>
          <w:b w:val="false"/>
          <w:sz w:val="20"/>
        </w:rPr>
        <w:t>million in regulatory-related milestones and up to $30.0</w:t>
      </w:r>
      <w:r>
        <w:rPr>
          <w:rFonts w:ascii="Times New Roman" w:hAnsi="Times New Roman"/>
          <w:sz w:val="20"/>
        </w:rPr>
        <w:t xml:space="preserve"> </w:t>
      </w:r>
      <w:r>
        <w:rPr>
          <w:rFonts w:ascii="Times New Roman;serif" w:hAnsi="Times New Roman;serif"/>
          <w:b w:val="false"/>
          <w:sz w:val="20"/>
        </w:rPr>
        <w:t>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pStyle w:val="TextBody"/>
        <w:spacing w:before="240" w:after="0"/>
        <w:jc w:val="left"/>
        <w:rPr>
          <w:rFonts w:ascii="Times New Roman" w:hAnsi="Times New Roman"/>
          <w:sz w:val="20"/>
        </w:rPr>
      </w:pPr>
      <w:r>
        <w:rPr>
          <w:rFonts w:ascii="Times New Roman;serif" w:hAnsi="Times New Roman;serif"/>
          <w:b w:val="false"/>
          <w:sz w:val="20"/>
        </w:rPr>
        <w:t>In December 2021, a regulatory milestone was triggered in connection with this agreement and therefore the Company recorded $3.0</w:t>
      </w:r>
      <w:r>
        <w:rPr>
          <w:rFonts w:ascii="Times New Roman" w:hAnsi="Times New Roman"/>
          <w:sz w:val="20"/>
        </w:rPr>
        <w:t xml:space="preserve"> </w:t>
      </w:r>
      <w:r>
        <w:rPr>
          <w:rFonts w:ascii="Times New Roman;serif" w:hAnsi="Times New Roman;serif"/>
          <w:b w:val="false"/>
          <w:sz w:val="20"/>
        </w:rPr>
        <w:t>million within research and development expenses in the consolidated statements of operations for the year ended December 31, 2021. The milestone fee was paid in January 2022 and classified as an investing cash outflow in the consolidated statements of cash flows for the year ended December 31, 2022. No additional milestone payments were triggered in connection with this agreement during the year ended December 31, 2022.</w:t>
      </w:r>
    </w:p>
    <w:p>
      <w:pPr>
        <w:pStyle w:val="TextBody"/>
        <w:spacing w:before="360" w:after="0"/>
        <w:jc w:val="left"/>
        <w:rPr>
          <w:rFonts w:ascii="Times New Roman;serif" w:hAnsi="Times New Roman;serif"/>
          <w:b/>
          <w:i/>
          <w:sz w:val="20"/>
        </w:rPr>
      </w:pPr>
      <w:r>
        <w:rPr>
          <w:rFonts w:ascii="Times New Roman;serif" w:hAnsi="Times New Roman;serif"/>
          <w:b/>
          <w:i/>
          <w:sz w:val="20"/>
        </w:rPr>
        <w:t>Abeona Rett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Subject to certain obligations of Abeona, the Company is required to use commercially reasonable efforts to develop at least one licensed product and commercialize at least one licensed product in the United States.</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Abeona Rett Agreement, the Company paid Abeona a one-time upfront license fee of $3.0</w:t>
      </w:r>
      <w:r>
        <w:rPr>
          <w:rFonts w:ascii="Times New Roman" w:hAnsi="Times New Roman"/>
          <w:sz w:val="20"/>
        </w:rPr>
        <w:t xml:space="preserve"> </w:t>
      </w:r>
      <w:r>
        <w:rPr>
          <w:rFonts w:ascii="Times New Roman;serif" w:hAnsi="Times New Roman;serif"/>
          <w:b w:val="false"/>
          <w:sz w:val="20"/>
        </w:rPr>
        <w:t>million which is recorded in research and development expenses in the consolidated statements of operations for the year ended December 31, 2020 since the acquired license does not have an alternative future use. The Company is obligated to pay Abeona up to $26.5</w:t>
      </w:r>
      <w:r>
        <w:rPr>
          <w:rFonts w:ascii="Times New Roman" w:hAnsi="Times New Roman"/>
          <w:sz w:val="20"/>
        </w:rPr>
        <w:t xml:space="preserve"> </w:t>
      </w:r>
      <w:r>
        <w:rPr>
          <w:rFonts w:ascii="Times New Roman;serif" w:hAnsi="Times New Roman;serif"/>
          <w:b w:val="false"/>
          <w:sz w:val="20"/>
        </w:rPr>
        <w:t>million in regulatory-related milestones and up to $30.0</w:t>
      </w:r>
      <w:r>
        <w:rPr>
          <w:rFonts w:ascii="Times New Roman" w:hAnsi="Times New Roman"/>
          <w:sz w:val="20"/>
        </w:rPr>
        <w:t xml:space="preserve"> </w:t>
      </w:r>
      <w:r>
        <w:rPr>
          <w:rFonts w:ascii="Times New Roman;serif" w:hAnsi="Times New Roman;serif"/>
          <w:b w:val="false"/>
          <w:sz w:val="20"/>
        </w:rPr>
        <w:t>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F-19</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pStyle w:val="TextBody"/>
        <w:spacing w:before="240" w:after="0"/>
        <w:jc w:val="left"/>
        <w:rPr>
          <w:rFonts w:ascii="Times New Roman" w:hAnsi="Times New Roman"/>
          <w:sz w:val="20"/>
        </w:rPr>
      </w:pPr>
      <w:r>
        <w:rPr>
          <w:rFonts w:ascii="Times New Roman;serif" w:hAnsi="Times New Roman;serif"/>
          <w:b w:val="false"/>
          <w:sz w:val="20"/>
        </w:rPr>
        <w:t>In March 2022, the Company’s CTA filing for TSHA-102 for the treatment of Rett Syndrome was approved by Health Canada and therefore triggered a regulatory milestone payment in connection with this agreement. The Company recorded $1.0</w:t>
      </w:r>
      <w:r>
        <w:rPr>
          <w:rFonts w:ascii="Times New Roman" w:hAnsi="Times New Roman"/>
          <w:sz w:val="20"/>
        </w:rPr>
        <w:t xml:space="preserve"> </w:t>
      </w:r>
      <w:r>
        <w:rPr>
          <w:rFonts w:ascii="Times New Roman;serif" w:hAnsi="Times New Roman;serif"/>
          <w:b w:val="false"/>
          <w:sz w:val="20"/>
        </w:rPr>
        <w:t>million within research and development expenses in the consolidated statements of operations for the year ended December 31, 2022. The $1.0</w:t>
      </w:r>
      <w:r>
        <w:rPr>
          <w:rFonts w:ascii="Times New Roman" w:hAnsi="Times New Roman"/>
          <w:sz w:val="20"/>
        </w:rPr>
        <w:t xml:space="preserve"> </w:t>
      </w:r>
      <w:r>
        <w:rPr>
          <w:rFonts w:ascii="Times New Roman;serif" w:hAnsi="Times New Roman;serif"/>
          <w:b w:val="false"/>
          <w:sz w:val="20"/>
        </w:rPr>
        <w:t>million regulatory milestone fee was paid in July 2022 and classified as an investing cash outflow in the consolidated statements of cash flows for the year ended December 31, 2022.</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Acquisition of Worldwide Rights for TSHA-120 for the treatment of GAN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March 2021, the Company acquired the exclusive worldwide rights to a clinical-stage AAV9 gene therapy program, now known as TSHA-120, for the treatment of Giant Axonal Neuropathy (“GAN”) pursuant to a license agreement with Hannah’s Hope Fund (“HHF”) for Giant Axonal Neuropathy, Inc. TSHA-120 is an intrathecally dosed AAV9 gene therapy currently being evaluated in a clinical trial for the treatment of GAN. Under the terms of the agreement, in exchange for granting the Company the exclusive worldwide rights to TSHA-120, HHF received an upfront payment of $5.5</w:t>
      </w:r>
      <w:r>
        <w:rPr>
          <w:rFonts w:ascii="Times New Roman" w:hAnsi="Times New Roman"/>
          <w:sz w:val="20"/>
        </w:rPr>
        <w:t xml:space="preserve"> </w:t>
      </w:r>
      <w:r>
        <w:rPr>
          <w:rFonts w:ascii="Times New Roman;serif" w:hAnsi="Times New Roman;serif"/>
          <w:b w:val="false"/>
          <w:sz w:val="20"/>
        </w:rPr>
        <w:t>million and will be eligible to receive clinical, regulatory and commercial milestones totaling up to $19.3</w:t>
      </w:r>
      <w:r>
        <w:rPr>
          <w:rFonts w:ascii="Times New Roman" w:hAnsi="Times New Roman"/>
          <w:sz w:val="20"/>
        </w:rPr>
        <w:t xml:space="preserve"> </w:t>
      </w:r>
      <w:r>
        <w:rPr>
          <w:rFonts w:ascii="Times New Roman;serif" w:hAnsi="Times New Roman;serif"/>
          <w:b w:val="false"/>
          <w:sz w:val="20"/>
        </w:rPr>
        <w:t>million, as well as a low, single-digit royalty on net sales upon commercialization of the product.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exchange for the license rights, the Company recorded an aggregate of $5.5</w:t>
      </w:r>
      <w:r>
        <w:rPr>
          <w:rFonts w:ascii="Times New Roman" w:hAnsi="Times New Roman"/>
          <w:sz w:val="20"/>
        </w:rPr>
        <w:t xml:space="preserve"> </w:t>
      </w:r>
      <w:r>
        <w:rPr>
          <w:rFonts w:ascii="Times New Roman;serif" w:hAnsi="Times New Roman;serif"/>
          <w:b w:val="false"/>
          <w:sz w:val="20"/>
        </w:rPr>
        <w:t>million within research and development expenses in the consolidated statements of operations for the year ended March 31, 2021, since the acquired license does not have an alternative future use. This license fee was paid in April 2021 and has been classified as an investing outflow in the consolidated statements of cash flows for the year ended December 30, 2021. No</w:t>
      </w:r>
      <w:r>
        <w:rPr>
          <w:rFonts w:ascii="Times New Roman" w:hAnsi="Times New Roman"/>
          <w:sz w:val="20"/>
        </w:rPr>
        <w:t xml:space="preserve"> </w:t>
      </w:r>
      <w:r>
        <w:rPr>
          <w:rFonts w:ascii="Times New Roman;serif" w:hAnsi="Times New Roman;serif"/>
          <w:b w:val="false"/>
          <w:sz w:val="20"/>
        </w:rPr>
        <w:t>additional milestone payments were made in connection with this agreement during the year ended December 31, 2022.</w:t>
      </w:r>
    </w:p>
    <w:p>
      <w:pPr>
        <w:pStyle w:val="TextBody"/>
        <w:spacing w:before="360" w:after="0"/>
        <w:jc w:val="left"/>
        <w:rPr>
          <w:rFonts w:ascii="Times New Roman" w:hAnsi="Times New Roman"/>
          <w:sz w:val="20"/>
        </w:rPr>
      </w:pPr>
      <w:r>
        <w:rPr>
          <w:rFonts w:ascii="Times New Roman;serif" w:hAnsi="Times New Roman;serif"/>
          <w:b/>
          <w:i/>
          <w:sz w:val="20"/>
        </w:rPr>
        <w:t>License Agreement for CLN7</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a one-time upfront license fee of $0.3</w:t>
      </w:r>
      <w:r>
        <w:rPr>
          <w:rFonts w:ascii="Times New Roman" w:hAnsi="Times New Roman"/>
          <w:sz w:val="20"/>
        </w:rPr>
        <w:t xml:space="preserve"> </w:t>
      </w:r>
      <w:r>
        <w:rPr>
          <w:rFonts w:ascii="Times New Roman;serif" w:hAnsi="Times New Roman;serif"/>
          <w:b w:val="false"/>
          <w:sz w:val="20"/>
        </w:rPr>
        <w:t>million. The Company recorded the upfront license fee in research and development expense in the consolidated statements of operations since the acquired license does not have an alternative future use. The upfront license fee was classified as an investing cash outflow in the consolidated statements of cash flows for the year ended December 31, 2022. The Company is obligated to pay UT Southwestern up to $7.7</w:t>
      </w:r>
      <w:r>
        <w:rPr>
          <w:rFonts w:ascii="Times New Roman" w:hAnsi="Times New Roman"/>
          <w:sz w:val="20"/>
        </w:rPr>
        <w:t xml:space="preserve"> </w:t>
      </w:r>
      <w:r>
        <w:rPr>
          <w:rFonts w:ascii="Times New Roman;serif" w:hAnsi="Times New Roman;serif"/>
          <w:b w:val="false"/>
          <w:sz w:val="20"/>
        </w:rPr>
        <w:t>million in regulatory-related milestones and up to $7.5</w:t>
      </w:r>
      <w:r>
        <w:rPr>
          <w:rFonts w:ascii="Times New Roman" w:hAnsi="Times New Roman"/>
          <w:sz w:val="20"/>
        </w:rPr>
        <w:t xml:space="preserve"> </w:t>
      </w:r>
      <w:r>
        <w:rPr>
          <w:rFonts w:ascii="Times New Roman;serif" w:hAnsi="Times New Roman;serif"/>
          <w:b w:val="false"/>
          <w:sz w:val="20"/>
        </w:rPr>
        <w:t>million in sales-related milestones, as well as a low, single-digit royalty on net sales upon commercialization of the product. No</w:t>
      </w:r>
      <w:r>
        <w:rPr>
          <w:rFonts w:ascii="Times New Roman" w:hAnsi="Times New Roman"/>
          <w:sz w:val="20"/>
        </w:rPr>
        <w:t xml:space="preserve"> </w:t>
      </w:r>
      <w:r>
        <w:rPr>
          <w:rFonts w:ascii="Times New Roman;serif" w:hAnsi="Times New Roman;serif"/>
          <w:b w:val="false"/>
          <w:sz w:val="20"/>
        </w:rPr>
        <w:t>additional milestone payments were made in connection with this agreement during the year ended December 31, 2022.</w:t>
      </w:r>
    </w:p>
    <w:p>
      <w:pPr>
        <w:pStyle w:val="TextBody"/>
        <w:spacing w:before="160" w:after="0"/>
        <w:jc w:val="left"/>
        <w:rPr>
          <w:rFonts w:ascii="Times New Roman;serif" w:hAnsi="Times New Roman;serif"/>
          <w:b/>
          <w:sz w:val="20"/>
        </w:rPr>
      </w:pPr>
      <w:r>
        <w:rPr>
          <w:rFonts w:ascii="Times New Roman;serif" w:hAnsi="Times New Roman;serif"/>
          <w:b/>
          <w:sz w:val="20"/>
        </w:rPr>
        <w:t>Note 8—Stock-Based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July 1, 2020, the Company’s board of directors approved the 2020 Equity Incentive Plan (“Existing Plan”) which permits the granting of incentive stock options, non-statutory stock options, stock appreciation rights, RSAs, RSUs and other stock-based awards to employees, directors, officers and consultants. On September 16, 2020, the approval date of the New Plan (as defined below), no additional awards will be granted under the Existing Plan. The terms of the Existing Plan will continue to govern the terms of outstanding equity awards that were granted prior to approval of the New Plan.</w:t>
      </w:r>
    </w:p>
    <w:p>
      <w:pPr>
        <w:pStyle w:val="TextBody"/>
        <w:spacing w:before="240" w:after="0"/>
        <w:jc w:val="left"/>
        <w:rPr>
          <w:rFonts w:ascii="Times New Roman" w:hAnsi="Times New Roman"/>
          <w:sz w:val="20"/>
        </w:rPr>
      </w:pPr>
      <w:r>
        <w:rPr>
          <w:rFonts w:ascii="Times New Roman;serif" w:hAnsi="Times New Roman;serif"/>
          <w:b w:val="false"/>
          <w:sz w:val="20"/>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w:t>
      </w:r>
      <w:r>
        <w:rPr>
          <w:rFonts w:ascii="Times New Roman;serif" w:hAnsi="Times New Roman;serif"/>
          <w:sz w:val="20"/>
        </w:rPr>
        <w:t xml:space="preserve"> </w:t>
      </w:r>
      <w:r>
        <w:rPr>
          <w:rFonts w:ascii="Times New Roman;serif" w:hAnsi="Times New Roman;serif"/>
          <w:b w:val="false"/>
          <w:sz w:val="20"/>
        </w:rPr>
        <w:t>January 1, 2021</w:t>
      </w:r>
      <w:r>
        <w:rPr>
          <w:rFonts w:ascii="Times New Roman;serif" w:hAnsi="Times New Roman;serif"/>
          <w:sz w:val="20"/>
        </w:rPr>
        <w:t xml:space="preserve"> </w:t>
      </w:r>
      <w:r>
        <w:rPr>
          <w:rFonts w:ascii="Times New Roman;serif" w:hAnsi="Times New Roman;serif"/>
          <w:b w:val="false"/>
          <w:sz w:val="20"/>
        </w:rPr>
        <w:t>continuing through January 1, 2030, by 5% of the total number of shares of common stock outstanding on December 31 of the preceding calendar year, or a lesser number of shares as may be determined by the Company’s board of directors.</w:t>
      </w:r>
      <w:r>
        <w:rPr>
          <w:rFonts w:ascii="Times New Roman" w:hAnsi="Times New Roman"/>
          <w:sz w:val="20"/>
        </w:rPr>
        <w:t xml:space="preserve"> </w:t>
      </w:r>
      <w:r>
        <w:rPr>
          <w:rFonts w:ascii="Times New Roman;serif" w:hAnsi="Times New Roman;serif"/>
          <w:b w:val="false"/>
          <w:sz w:val="20"/>
        </w:rPr>
        <w:t>On January 1, 2023, the Company’s board of directors increased the number of shares of common stock reserved for issuance under the New Plan by 3,160,375</w:t>
      </w:r>
      <w:r>
        <w:rPr>
          <w:rFonts w:ascii="Times New Roman" w:hAnsi="Times New Roman"/>
          <w:sz w:val="20"/>
        </w:rPr>
        <w:t xml:space="preserve"> </w:t>
      </w:r>
      <w:r>
        <w:rPr>
          <w:rFonts w:ascii="Times New Roman;serif" w:hAnsi="Times New Roman;serif"/>
          <w:b w:val="false"/>
          <w:sz w:val="20"/>
        </w:rPr>
        <w:t>shares.</w:t>
      </w:r>
    </w:p>
    <w:p>
      <w:pPr>
        <w:pStyle w:val="TextBody"/>
        <w:spacing w:before="240" w:after="0"/>
        <w:jc w:val="left"/>
        <w:rPr>
          <w:rFonts w:ascii="Times New Roman" w:hAnsi="Times New Roman"/>
          <w:sz w:val="20"/>
        </w:rPr>
      </w:pPr>
      <w:r>
        <w:rPr>
          <w:rFonts w:ascii="Times New Roman;serif" w:hAnsi="Times New Roman;serif"/>
          <w:b w:val="false"/>
          <w:sz w:val="20"/>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w:t>
      </w:r>
      <w:r>
        <w:rPr>
          <w:rFonts w:ascii="Times New Roman" w:hAnsi="Times New Roman"/>
          <w:sz w:val="20"/>
        </w:rPr>
        <w:t xml:space="preserve"> </w:t>
      </w:r>
      <w:r>
        <w:rPr>
          <w:rFonts w:ascii="Times New Roman;serif" w:hAnsi="Times New Roman;serif"/>
          <w:b w:val="false"/>
          <w:sz w:val="20"/>
        </w:rPr>
        <w:t>shares of common stock, plus the number of shares of common stock that are automatically added on January 1 of each year for a period of up to ten years, commencing on the first January 1 following the IPO and ending on (and including)</w:t>
      </w:r>
      <w:r>
        <w:rPr>
          <w:rFonts w:ascii="Times New Roman;serif" w:hAnsi="Times New Roman;serif"/>
          <w:sz w:val="20"/>
        </w:rPr>
        <w:t xml:space="preserve"> </w:t>
      </w:r>
      <w:r>
        <w:rPr>
          <w:rFonts w:ascii="Times New Roman;serif" w:hAnsi="Times New Roman;serif"/>
          <w:b w:val="false"/>
          <w:sz w:val="20"/>
        </w:rPr>
        <w:t>January 1, 2030, in an amount equal to the lesser of (i) 1.0% of the total number of shares of capital stock outstanding on December 31 of the preceding calendar year, and (ii) 724,000</w:t>
      </w:r>
      <w:r>
        <w:rPr>
          <w:rFonts w:ascii="Times New Roman;serif" w:hAnsi="Times New Roman;serif"/>
          <w:sz w:val="20"/>
        </w:rPr>
        <w:t xml:space="preserve"> </w:t>
      </w:r>
      <w:r>
        <w:rPr>
          <w:rFonts w:ascii="Times New Roman;serif" w:hAnsi="Times New Roman;serif"/>
          <w:b w:val="false"/>
          <w:sz w:val="20"/>
        </w:rPr>
        <w:t>shares of common stock.</w:t>
      </w:r>
      <w:r>
        <w:rPr>
          <w:rFonts w:ascii="Times New Roman" w:hAnsi="Times New Roman"/>
          <w:sz w:val="20"/>
        </w:rPr>
        <w:t xml:space="preserve"> </w:t>
      </w: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shares were added to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F-20</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0"/>
        <w:jc w:val="left"/>
        <w:rPr>
          <w:rFonts w:ascii="Times New Roman" w:hAnsi="Times New Roman"/>
          <w:sz w:val="20"/>
        </w:rPr>
      </w:pPr>
      <w:r>
        <w:rPr>
          <w:rFonts w:ascii="Times New Roman;serif" w:hAnsi="Times New Roman;serif"/>
          <w:b w:val="false"/>
          <w:sz w:val="20"/>
        </w:rPr>
        <w:t>ESPP in 2021. On January 1, 2022 and 2023, the Company’s board of directors increased the number of shares of common stock reserved for issuance under the ESPP by 384,739</w:t>
      </w:r>
      <w:r>
        <w:rPr>
          <w:rFonts w:ascii="Times New Roman" w:hAnsi="Times New Roman"/>
          <w:sz w:val="20"/>
        </w:rPr>
        <w:t xml:space="preserve"> </w:t>
      </w:r>
      <w:r>
        <w:rPr>
          <w:rFonts w:ascii="Times New Roman;serif" w:hAnsi="Times New Roman;serif"/>
          <w:b w:val="false"/>
          <w:sz w:val="20"/>
        </w:rPr>
        <w:t>and 632,075</w:t>
      </w:r>
      <w:r>
        <w:rPr>
          <w:rFonts w:ascii="Times New Roman" w:hAnsi="Times New Roman"/>
          <w:sz w:val="20"/>
        </w:rPr>
        <w:t xml:space="preserve"> </w:t>
      </w:r>
      <w:r>
        <w:rPr>
          <w:rFonts w:ascii="Times New Roman;serif" w:hAnsi="Times New Roman;serif"/>
          <w:b w:val="false"/>
          <w:sz w:val="20"/>
        </w:rPr>
        <w:t>respectively. The Company has issued 73,073</w:t>
      </w:r>
      <w:r>
        <w:rPr>
          <w:rFonts w:ascii="Times New Roman" w:hAnsi="Times New Roman"/>
          <w:sz w:val="20"/>
        </w:rPr>
        <w:t xml:space="preserve"> </w:t>
      </w:r>
      <w:r>
        <w:rPr>
          <w:rFonts w:ascii="Times New Roman;serif" w:hAnsi="Times New Roman;serif"/>
          <w:b w:val="false"/>
          <w:sz w:val="20"/>
        </w:rPr>
        <w:t>shares of common stock under the ESPP as of December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number of shares available for grant under the Company's incentive plans were as follows:</w:t>
      </w:r>
    </w:p>
    <w:p>
      <w:pPr>
        <w:pStyle w:val="TextBody"/>
        <w:spacing w:before="240" w:after="0"/>
        <w:jc w:val="left"/>
        <w:rPr/>
      </w:pPr>
      <w:r>
        <w:rPr/>
        <w:t> </w:t>
      </w:r>
    </w:p>
    <w:tbl>
      <w:tblPr>
        <w:tblW w:w="7878" w:type="dxa"/>
        <w:jc w:val="left"/>
        <w:tblInd w:w="0" w:type="dxa"/>
        <w:tblCellMar>
          <w:top w:w="28" w:type="dxa"/>
          <w:left w:w="28" w:type="dxa"/>
          <w:bottom w:w="28" w:type="dxa"/>
          <w:right w:w="28" w:type="dxa"/>
        </w:tblCellMar>
      </w:tblPr>
      <w:tblGrid>
        <w:gridCol w:w="3436"/>
        <w:gridCol w:w="146"/>
        <w:gridCol w:w="146"/>
        <w:gridCol w:w="841"/>
        <w:gridCol w:w="166"/>
        <w:gridCol w:w="146"/>
        <w:gridCol w:w="146"/>
        <w:gridCol w:w="991"/>
        <w:gridCol w:w="166"/>
        <w:gridCol w:w="146"/>
        <w:gridCol w:w="146"/>
        <w:gridCol w:w="991"/>
        <w:gridCol w:w="411"/>
      </w:tblGrid>
      <w:tr>
        <w:trPr/>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Existing</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3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New</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37"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Plan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Plan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Available for grant - January 1, 2021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2,941,509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2,941,509</w:t>
            </w:r>
          </w:p>
        </w:tc>
        <w:tc>
          <w:tcPr>
            <w:tcW w:w="411" w:type="dxa"/>
            <w:tcBorders/>
            <w:shd w:fill="auto" w:val="clear"/>
            <w:vAlign w:val="center"/>
          </w:tcPr>
          <w:p>
            <w:pPr>
              <w:pStyle w:val="TableContents"/>
              <w:spacing w:before="0" w:after="0"/>
              <w:ind w:left="0" w:right="0" w:firstLine="200"/>
              <w:jc w:val="left"/>
              <w:rPr/>
            </w:pPr>
            <w:r>
              <w:rPr/>
              <w:t> </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Plan adjustments and amendments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(250,778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1,685,712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1,434,934</w:t>
            </w:r>
          </w:p>
        </w:tc>
        <w:tc>
          <w:tcPr>
            <w:tcW w:w="411" w:type="dxa"/>
            <w:tcBorders/>
            <w:shd w:fill="auto" w:val="clear"/>
            <w:vAlign w:val="center"/>
          </w:tcPr>
          <w:p>
            <w:pPr>
              <w:pStyle w:val="TableContents"/>
              <w:spacing w:before="0" w:after="0"/>
              <w:ind w:left="0" w:right="0" w:firstLine="200"/>
              <w:jc w:val="left"/>
              <w:rPr/>
            </w:pPr>
            <w:r>
              <w:rPr/>
              <w:t> </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(3,192,600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(3,192,600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Forfeitures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250,778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217,480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468,258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Available for grant -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1,652,101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1,652,101</w:t>
            </w:r>
          </w:p>
        </w:tc>
        <w:tc>
          <w:tcPr>
            <w:tcW w:w="411" w:type="dxa"/>
            <w:tcBorders/>
            <w:shd w:fill="auto" w:val="clear"/>
            <w:vAlign w:val="center"/>
          </w:tcPr>
          <w:p>
            <w:pPr>
              <w:pStyle w:val="TableContents"/>
              <w:spacing w:before="0" w:after="0"/>
              <w:ind w:left="0" w:right="0" w:firstLine="200"/>
              <w:jc w:val="left"/>
              <w:rPr/>
            </w:pPr>
            <w:r>
              <w:rPr/>
              <w:t> </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Plan adjustments and amendments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1,923,697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1,923,697</w:t>
            </w:r>
          </w:p>
        </w:tc>
        <w:tc>
          <w:tcPr>
            <w:tcW w:w="411" w:type="dxa"/>
            <w:tcBorders/>
            <w:shd w:fill="auto" w:val="clear"/>
            <w:vAlign w:val="center"/>
          </w:tcPr>
          <w:p>
            <w:pPr>
              <w:pStyle w:val="TableContents"/>
              <w:spacing w:before="0" w:after="0"/>
              <w:ind w:left="0" w:right="0" w:firstLine="200"/>
              <w:jc w:val="left"/>
              <w:rPr/>
            </w:pPr>
            <w:r>
              <w:rPr/>
              <w:t> </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(4,775,676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(4,775,676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Forfeitures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2,267,560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2,267,560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Available for grant -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1,067,682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1,067,682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i/>
          <w:sz w:val="20"/>
        </w:rPr>
      </w:pPr>
      <w:r>
        <w:rPr>
          <w:rFonts w:ascii="Times New Roman;serif" w:hAnsi="Times New Roman;serif"/>
          <w:b/>
          <w:i/>
          <w:sz w:val="20"/>
        </w:rPr>
        <w:t>Stock Options</w:t>
      </w:r>
    </w:p>
    <w:p>
      <w:pPr>
        <w:pStyle w:val="TextBody"/>
        <w:spacing w:before="120" w:after="0"/>
        <w:jc w:val="left"/>
        <w:rPr>
          <w:rFonts w:ascii="Times New Roman" w:hAnsi="Times New Roman"/>
          <w:sz w:val="20"/>
        </w:rPr>
      </w:pPr>
      <w:r>
        <w:rPr>
          <w:rFonts w:ascii="Times New Roman;serif" w:hAnsi="Times New Roman;serif"/>
          <w:b w:val="false"/>
          <w:sz w:val="20"/>
        </w:rPr>
        <w:t>On July 1, 2020, options to purchase 2,896,782</w:t>
      </w:r>
      <w:r>
        <w:rPr>
          <w:rFonts w:ascii="Times New Roman" w:hAnsi="Times New Roman"/>
          <w:sz w:val="20"/>
        </w:rPr>
        <w:t xml:space="preserve"> </w:t>
      </w:r>
      <w:r>
        <w:rPr>
          <w:rFonts w:ascii="Times New Roman;serif" w:hAnsi="Times New Roman;serif"/>
          <w:b w:val="false"/>
          <w:sz w:val="20"/>
        </w:rPr>
        <w:t>shares of common stock under the Existing Plan were awarded to certain employees and consultants of the Company with an exercise price per share of $0.80, which were expected to vest over a four-year</w:t>
      </w:r>
      <w:r>
        <w:rPr>
          <w:rFonts w:ascii="Times New Roman" w:hAnsi="Times New Roman"/>
          <w:sz w:val="20"/>
        </w:rPr>
        <w:t xml:space="preserve"> </w:t>
      </w:r>
      <w:r>
        <w:rPr>
          <w:rFonts w:ascii="Times New Roman;serif" w:hAnsi="Times New Roman;serif"/>
          <w:b w:val="false"/>
          <w:sz w:val="20"/>
        </w:rPr>
        <w:t>period, all of which were subsequently cancelled (the “Cancelled Options”). The grant date fair value of the Cancelled Options was $13.8</w:t>
      </w:r>
      <w:r>
        <w:rPr>
          <w:rFonts w:ascii="Times New Roman" w:hAnsi="Times New Roman"/>
          <w:sz w:val="20"/>
        </w:rPr>
        <w:t xml:space="preserve"> </w:t>
      </w:r>
      <w:r>
        <w:rPr>
          <w:rFonts w:ascii="Times New Roman;serif" w:hAnsi="Times New Roman;serif"/>
          <w:b w:val="false"/>
          <w:sz w:val="20"/>
        </w:rPr>
        <w:t>million at the original grant date. In exchange, the Company awarded 2,518,932</w:t>
      </w:r>
      <w:r>
        <w:rPr>
          <w:rFonts w:ascii="Times New Roman" w:hAnsi="Times New Roman"/>
          <w:sz w:val="20"/>
        </w:rPr>
        <w:t xml:space="preserve"> </w:t>
      </w:r>
      <w:r>
        <w:rPr>
          <w:rFonts w:ascii="Times New Roman;serif" w:hAnsi="Times New Roman;serif"/>
          <w:b w:val="false"/>
          <w:sz w:val="20"/>
        </w:rPr>
        <w:t>RSUs on September 2, 2020, which are expected to vest over a four-year term. The Company accounted for the changes in award terms as a modification in accordance with ASC 718 Compensation – Stock Compensation. The modification was accounted for as an exchange of the original award for a new award with total compensation cost equal to the grant-date fair value of the original award plus any incremental value measured on the modification date. The Company determined that there was no</w:t>
      </w:r>
      <w:r>
        <w:rPr>
          <w:rFonts w:ascii="Times New Roman" w:hAnsi="Times New Roman"/>
          <w:sz w:val="20"/>
        </w:rPr>
        <w:t xml:space="preserve"> </w:t>
      </w:r>
      <w:r>
        <w:rPr>
          <w:rFonts w:ascii="Times New Roman;serif" w:hAnsi="Times New Roman;serif"/>
          <w:b w:val="false"/>
          <w:sz w:val="20"/>
        </w:rPr>
        <w:t>incremental value as the fair value of the original award immediately before the modification was greater than the fair value of the new award immediately after the modification. Accordingly, the Company continues to recognize the remaining compensation cost of the Cancelled Options over the vesting period of the RSUs.</w:t>
      </w:r>
    </w:p>
    <w:p>
      <w:pPr>
        <w:pStyle w:val="TextBody"/>
        <w:spacing w:before="240" w:after="0"/>
        <w:jc w:val="left"/>
        <w:rPr>
          <w:rFonts w:ascii="Times New Roman" w:hAnsi="Times New Roman"/>
          <w:sz w:val="20"/>
        </w:rPr>
      </w:pPr>
      <w:r>
        <w:rPr>
          <w:rFonts w:ascii="Times New Roman;serif" w:hAnsi="Times New Roman;serif"/>
          <w:b w:val="false"/>
          <w:sz w:val="20"/>
        </w:rPr>
        <w:t>During the year ended December 31, 2022, options to purchase 4,775,676</w:t>
      </w:r>
      <w:r>
        <w:rPr>
          <w:rFonts w:ascii="Times New Roman" w:hAnsi="Times New Roman"/>
          <w:sz w:val="20"/>
        </w:rPr>
        <w:t xml:space="preserve"> </w:t>
      </w:r>
      <w:r>
        <w:rPr>
          <w:rFonts w:ascii="Times New Roman;serif" w:hAnsi="Times New Roman;serif"/>
          <w:b w:val="false"/>
          <w:sz w:val="20"/>
        </w:rPr>
        <w:t>shares of common stock under the New Plan were awarded with a weighted-average grant date fair value per share of $3.07. The stock options vest over one</w:t>
      </w:r>
      <w:r>
        <w:rPr>
          <w:rFonts w:ascii="Times New Roman" w:hAnsi="Times New Roman"/>
          <w:sz w:val="20"/>
        </w:rPr>
        <w:t xml:space="preserve"> </w:t>
      </w:r>
      <w:r>
        <w:rPr>
          <w:rFonts w:ascii="Times New Roman;serif" w:hAnsi="Times New Roman;serif"/>
          <w:b w:val="false"/>
          <w:sz w:val="20"/>
        </w:rPr>
        <w:t>to four years</w:t>
      </w:r>
      <w:r>
        <w:rPr>
          <w:rFonts w:ascii="Times New Roman" w:hAnsi="Times New Roman"/>
          <w:sz w:val="20"/>
        </w:rPr>
        <w:t xml:space="preserve"> </w:t>
      </w:r>
      <w:r>
        <w:rPr>
          <w:rFonts w:ascii="Times New Roman;serif" w:hAnsi="Times New Roman;serif"/>
          <w:b w:val="false"/>
          <w:sz w:val="20"/>
        </w:rPr>
        <w:t>and have a ten-year</w:t>
      </w:r>
      <w:r>
        <w:rPr>
          <w:rFonts w:ascii="Times New Roman" w:hAnsi="Times New Roman"/>
          <w:sz w:val="20"/>
        </w:rPr>
        <w:t xml:space="preserve"> </w:t>
      </w:r>
      <w:r>
        <w:rPr>
          <w:rFonts w:ascii="Times New Roman;serif" w:hAnsi="Times New Roman;serif"/>
          <w:b w:val="false"/>
          <w:sz w:val="20"/>
        </w:rPr>
        <w:t>contractual term.</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weighted-average assumptions were used to estimate the fair value of stock options granted during the years ended December 31, 2022 and 2021:</w:t>
      </w:r>
    </w:p>
    <w:p>
      <w:pPr>
        <w:pStyle w:val="TextBody"/>
        <w:spacing w:before="0" w:after="0"/>
        <w:jc w:val="left"/>
        <w:rPr/>
      </w:pPr>
      <w:r>
        <w:rPr/>
        <w:t> </w:t>
      </w:r>
    </w:p>
    <w:tbl>
      <w:tblPr>
        <w:tblW w:w="4585" w:type="dxa"/>
        <w:jc w:val="left"/>
        <w:tblInd w:w="0" w:type="dxa"/>
        <w:tblCellMar>
          <w:top w:w="28" w:type="dxa"/>
          <w:left w:w="28" w:type="dxa"/>
          <w:bottom w:w="28" w:type="dxa"/>
          <w:right w:w="28" w:type="dxa"/>
        </w:tblCellMar>
      </w:tblPr>
      <w:tblGrid>
        <w:gridCol w:w="2131"/>
        <w:gridCol w:w="146"/>
        <w:gridCol w:w="177"/>
        <w:gridCol w:w="566"/>
        <w:gridCol w:w="329"/>
        <w:gridCol w:w="177"/>
        <w:gridCol w:w="177"/>
        <w:gridCol w:w="566"/>
        <w:gridCol w:w="316"/>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16" w:type="dxa"/>
            <w:tcBorders/>
            <w:shd w:fill="auto" w:val="cle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 w:type="dxa"/>
            <w:tcBorders/>
            <w:shd w:fill="auto" w:val="clear"/>
            <w:vAlign w:val="center"/>
          </w:tcPr>
          <w:p>
            <w:pPr>
              <w:pStyle w:val="TableContents"/>
              <w:spacing w:before="0" w:after="0"/>
              <w:ind w:left="0" w:right="0" w:hanging="0"/>
              <w:jc w:val="center"/>
              <w:rPr/>
            </w:pPr>
            <w:r>
              <w:rPr/>
              <w:t> </w:t>
            </w:r>
          </w:p>
        </w:tc>
        <w:tc>
          <w:tcPr>
            <w:tcW w:w="7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329"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29"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16"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F-21</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The following table summarizes stock option activity during the years ended December 31, 2022 and 2021:</w:t>
      </w:r>
    </w:p>
    <w:p>
      <w:pPr>
        <w:pStyle w:val="TextBody"/>
        <w:spacing w:before="0" w:after="0"/>
        <w:jc w:val="left"/>
        <w:rPr/>
      </w:pPr>
      <w:r>
        <w:rPr/>
        <w:t> </w:t>
      </w:r>
    </w:p>
    <w:tbl>
      <w:tblPr>
        <w:tblW w:w="9157" w:type="dxa"/>
        <w:jc w:val="left"/>
        <w:tblInd w:w="0" w:type="dxa"/>
        <w:tblCellMar>
          <w:top w:w="28" w:type="dxa"/>
          <w:left w:w="28" w:type="dxa"/>
          <w:bottom w:w="28" w:type="dxa"/>
          <w:right w:w="28" w:type="dxa"/>
        </w:tblCellMar>
      </w:tblPr>
      <w:tblGrid>
        <w:gridCol w:w="3541"/>
        <w:gridCol w:w="146"/>
        <w:gridCol w:w="146"/>
        <w:gridCol w:w="991"/>
        <w:gridCol w:w="166"/>
        <w:gridCol w:w="146"/>
        <w:gridCol w:w="214"/>
        <w:gridCol w:w="582"/>
        <w:gridCol w:w="146"/>
        <w:gridCol w:w="146"/>
        <w:gridCol w:w="322"/>
        <w:gridCol w:w="803"/>
        <w:gridCol w:w="146"/>
        <w:gridCol w:w="146"/>
        <w:gridCol w:w="303"/>
        <w:gridCol w:w="822"/>
        <w:gridCol w:w="391"/>
      </w:tblGrid>
      <w:tr>
        <w:trPr/>
        <w:tc>
          <w:tcPr>
            <w:tcW w:w="3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3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3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391" w:type="dxa"/>
            <w:tcBorders/>
            <w:shd w:fill="auto" w:val="cle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3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391" w:type="dxa"/>
            <w:tcBorders/>
            <w:shd w:fill="auto" w:val="cle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3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Exercise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Contractual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391" w:type="dxa"/>
            <w:tcBorders/>
            <w:shd w:fill="auto" w:val="cle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Life (in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January 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674,842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5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3,192,600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5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cancelled or 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(217,480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3,649,962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5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4,775,676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5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cancelled or 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(2,048,192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5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(219,368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6,158,078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1,225,613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val="false"/>
          <w:sz w:val="20"/>
        </w:rPr>
        <w:t>The aggregate intrinsic value in the above table is calculated as the difference between the fair value of the Company’s common stock as of December 31, 2022 and the exercise price of the stock options. As of December 31, 2022, the total unrecognized compensation related to unvested stock option awards granted was $26.4</w:t>
      </w:r>
      <w:r>
        <w:rPr>
          <w:rFonts w:ascii="Times New Roman" w:hAnsi="Times New Roman"/>
          <w:sz w:val="20"/>
        </w:rPr>
        <w:t xml:space="preserve"> </w:t>
      </w:r>
      <w:r>
        <w:rPr>
          <w:rFonts w:ascii="Times New Roman;serif" w:hAnsi="Times New Roman;serif"/>
          <w:b w:val="false"/>
          <w:sz w:val="20"/>
        </w:rPr>
        <w:t>million, which the Company expects to recognize over a weighted-average period of approximately 2.5</w:t>
      </w:r>
      <w:r>
        <w:rPr>
          <w:rFonts w:ascii="Times New Roman" w:hAnsi="Times New Roman"/>
          <w:sz w:val="20"/>
        </w:rPr>
        <w:t xml:space="preserve"> </w:t>
      </w:r>
      <w:r>
        <w:rPr>
          <w:rFonts w:ascii="Times New Roman;serif" w:hAnsi="Times New Roman;serif"/>
          <w:b w:val="false"/>
          <w:sz w:val="20"/>
        </w:rPr>
        <w:t>years. No</w:t>
      </w:r>
      <w:r>
        <w:rPr>
          <w:rFonts w:ascii="Times New Roman" w:hAnsi="Times New Roman"/>
          <w:sz w:val="20"/>
        </w:rPr>
        <w:t xml:space="preserve"> </w:t>
      </w:r>
      <w:r>
        <w:rPr>
          <w:rFonts w:ascii="Times New Roman;serif" w:hAnsi="Times New Roman;serif"/>
          <w:b w:val="false"/>
          <w:sz w:val="20"/>
        </w:rPr>
        <w:t>stock options were exercised during the period.</w:t>
      </w:r>
    </w:p>
    <w:p>
      <w:pPr>
        <w:pStyle w:val="TextBody"/>
        <w:spacing w:before="360" w:after="0"/>
        <w:jc w:val="left"/>
        <w:rPr>
          <w:rFonts w:ascii="Times New Roman;serif" w:hAnsi="Times New Roman;serif"/>
          <w:b/>
          <w:i/>
          <w:sz w:val="20"/>
        </w:rPr>
      </w:pPr>
      <w:r>
        <w:rPr>
          <w:rFonts w:ascii="Times New Roman;serif" w:hAnsi="Times New Roman;serif"/>
          <w:b/>
          <w:i/>
          <w:sz w:val="20"/>
        </w:rPr>
        <w:t>Restricted Stock Units</w:t>
      </w:r>
    </w:p>
    <w:p>
      <w:pPr>
        <w:pStyle w:val="TextBody"/>
        <w:spacing w:before="120" w:after="0"/>
        <w:jc w:val="left"/>
        <w:rPr>
          <w:rFonts w:ascii="Times New Roman" w:hAnsi="Times New Roman"/>
          <w:sz w:val="20"/>
        </w:rPr>
      </w:pPr>
      <w:r>
        <w:rPr>
          <w:rFonts w:ascii="Times New Roman;serif" w:hAnsi="Times New Roman;serif"/>
          <w:b w:val="false"/>
          <w:sz w:val="20"/>
        </w:rPr>
        <w:t>On September 2, 2020, the Company issued 331,121</w:t>
      </w:r>
      <w:r>
        <w:rPr>
          <w:rFonts w:ascii="Times New Roman" w:hAnsi="Times New Roman"/>
          <w:sz w:val="20"/>
        </w:rPr>
        <w:t xml:space="preserve"> </w:t>
      </w:r>
      <w:r>
        <w:rPr>
          <w:rFonts w:ascii="Times New Roman;serif" w:hAnsi="Times New Roman;serif"/>
          <w:b w:val="false"/>
          <w:sz w:val="20"/>
        </w:rPr>
        <w:t>RSUs to an employee under the Existing Plan; 25% of the shares of common stock underlying the RSUs vest at each anniversary over a four-year</w:t>
      </w:r>
      <w:r>
        <w:rPr>
          <w:rFonts w:ascii="Times New Roman" w:hAnsi="Times New Roman"/>
          <w:sz w:val="20"/>
        </w:rPr>
        <w:t xml:space="preserve"> </w:t>
      </w:r>
      <w:r>
        <w:rPr>
          <w:rFonts w:ascii="Times New Roman;serif" w:hAnsi="Times New Roman;serif"/>
          <w:b w:val="false"/>
          <w:sz w:val="20"/>
        </w:rPr>
        <w:t>period. The RSUs are subject to a service-based vesting condition. The Company at any time may accelerate the vesting of the RSUs. Such shares are not accounted for as outstanding until they vest. As of December 31, 2022, the total unrecognized compensation related to unvested RSUs granted, including the remaining compensation cost associated with the RSUs granted on September 2, 2020 in exchange for the Cancelled Options, was $6.4</w:t>
      </w:r>
      <w:r>
        <w:rPr>
          <w:rFonts w:ascii="Times New Roman" w:hAnsi="Times New Roman"/>
          <w:sz w:val="20"/>
        </w:rPr>
        <w:t xml:space="preserve"> </w:t>
      </w:r>
      <w:r>
        <w:rPr>
          <w:rFonts w:ascii="Times New Roman;serif" w:hAnsi="Times New Roman;serif"/>
          <w:b w:val="false"/>
          <w:sz w:val="20"/>
        </w:rPr>
        <w:t>million which is expected to be amortized on a straight-line basis over a weighted-average period of approximately 1.5</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Company’s RSU activity for the year ended December 31, 2022 and 2021 was as follows:</w:t>
      </w:r>
      <w:r>
        <w:rPr>
          <w:rFonts w:ascii="Times New Roman" w:hAnsi="Times New Roman"/>
          <w:sz w:val="20"/>
        </w:rPr>
        <w:t xml:space="preserve"> </w:t>
      </w:r>
    </w:p>
    <w:p>
      <w:pPr>
        <w:pStyle w:val="TextBody"/>
        <w:spacing w:before="0" w:after="0"/>
        <w:jc w:val="left"/>
        <w:rPr/>
      </w:pPr>
      <w:r>
        <w:rPr/>
        <w:t> </w:t>
      </w:r>
    </w:p>
    <w:tbl>
      <w:tblPr>
        <w:tblW w:w="5677" w:type="dxa"/>
        <w:jc w:val="left"/>
        <w:tblInd w:w="0" w:type="dxa"/>
        <w:tblCellMar>
          <w:top w:w="28" w:type="dxa"/>
          <w:left w:w="28" w:type="dxa"/>
          <w:bottom w:w="28" w:type="dxa"/>
          <w:right w:w="28" w:type="dxa"/>
        </w:tblCellMar>
      </w:tblPr>
      <w:tblGrid>
        <w:gridCol w:w="2806"/>
        <w:gridCol w:w="146"/>
        <w:gridCol w:w="146"/>
        <w:gridCol w:w="931"/>
        <w:gridCol w:w="166"/>
        <w:gridCol w:w="146"/>
        <w:gridCol w:w="294"/>
        <w:gridCol w:w="651"/>
        <w:gridCol w:w="391"/>
      </w:tblGrid>
      <w:tr>
        <w:trPr/>
        <w:tc>
          <w:tcPr>
            <w:tcW w:w="28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391"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391"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391"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January 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2,850,053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units 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(712,510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 or 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(250,778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1,886,765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units 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(628,921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 or 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1,257,844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Restricted Stock Awards</w:t>
      </w:r>
    </w:p>
    <w:p>
      <w:pPr>
        <w:pStyle w:val="TextBody"/>
        <w:spacing w:before="120" w:after="0"/>
        <w:jc w:val="left"/>
        <w:rPr>
          <w:rFonts w:ascii="Times New Roman" w:hAnsi="Times New Roman"/>
          <w:sz w:val="20"/>
        </w:rPr>
      </w:pPr>
      <w:r>
        <w:rPr>
          <w:rFonts w:ascii="Times New Roman;serif" w:hAnsi="Times New Roman;serif"/>
          <w:b w:val="false"/>
          <w:sz w:val="20"/>
        </w:rPr>
        <w:t>RA Session II, the Company’s former President and Chief Executive Officer, was awarded 769,058</w:t>
      </w:r>
      <w:r>
        <w:rPr>
          <w:rFonts w:ascii="Times New Roman" w:hAnsi="Times New Roman"/>
          <w:sz w:val="20"/>
        </w:rPr>
        <w:t xml:space="preserve"> </w:t>
      </w:r>
      <w:r>
        <w:rPr>
          <w:rFonts w:ascii="Times New Roman;serif" w:hAnsi="Times New Roman;serif"/>
          <w:b w:val="false"/>
          <w:sz w:val="20"/>
        </w:rPr>
        <w:t>RSAs under the Existing Plan on July 1, 2020, which are expected to vest over a three-year</w:t>
      </w:r>
      <w:r>
        <w:rPr>
          <w:rFonts w:ascii="Times New Roman" w:hAnsi="Times New Roman"/>
          <w:sz w:val="20"/>
        </w:rPr>
        <w:t xml:space="preserve"> </w:t>
      </w:r>
      <w:r>
        <w:rPr>
          <w:rFonts w:ascii="Times New Roman;serif" w:hAnsi="Times New Roman;serif"/>
          <w:b w:val="false"/>
          <w:sz w:val="20"/>
        </w:rPr>
        <w:t>term, subject to continuous employment. As of December 31, 2022, the total unrecognized compensation related to unvested RSAs granted was $0.4</w:t>
      </w:r>
      <w:r>
        <w:rPr>
          <w:rFonts w:ascii="Times New Roman" w:hAnsi="Times New Roman"/>
          <w:sz w:val="20"/>
        </w:rPr>
        <w:t xml:space="preserve"> </w:t>
      </w:r>
      <w:r>
        <w:rPr>
          <w:rFonts w:ascii="Times New Roman;serif" w:hAnsi="Times New Roman;serif"/>
          <w:b w:val="false"/>
          <w:sz w:val="20"/>
        </w:rPr>
        <w:t>million which is expected to be amortized on a straight-line basis over a weighted average period of approximately 0.2</w:t>
      </w:r>
      <w:r>
        <w:rPr>
          <w:rFonts w:ascii="Times New Roman" w:hAnsi="Times New Roman"/>
          <w:sz w:val="20"/>
        </w:rPr>
        <w:t xml:space="preserve"> </w:t>
      </w:r>
      <w:r>
        <w:rPr>
          <w:rFonts w:ascii="Times New Roman;serif" w:hAnsi="Times New Roman;serif"/>
          <w:b w:val="false"/>
          <w:sz w:val="20"/>
        </w:rPr>
        <w:t>years. The fair value of these RSAs at the grant date of July 1, 2020 was $5.28</w:t>
      </w:r>
      <w:r>
        <w:rPr>
          <w:rFonts w:ascii="Times New Roman" w:hAnsi="Times New Roman"/>
          <w:sz w:val="20"/>
        </w:rPr>
        <w:t xml:space="preserve"> </w:t>
      </w:r>
      <w:r>
        <w:rPr>
          <w:rFonts w:ascii="Times New Roman;serif" w:hAnsi="Times New Roman;serif"/>
          <w:b w:val="false"/>
          <w:sz w:val="20"/>
        </w:rPr>
        <w:t>per share.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F-22</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RSA activity for the year ended December 31, 2022 and 2021 was as follows:</w:t>
      </w:r>
    </w:p>
    <w:p>
      <w:pPr>
        <w:pStyle w:val="TextBody"/>
        <w:spacing w:before="0" w:after="0"/>
        <w:jc w:val="left"/>
        <w:rPr/>
      </w:pPr>
      <w:r>
        <w:rPr/>
        <w:t> </w:t>
      </w:r>
    </w:p>
    <w:tbl>
      <w:tblPr>
        <w:tblW w:w="5587" w:type="dxa"/>
        <w:jc w:val="left"/>
        <w:tblInd w:w="0" w:type="dxa"/>
        <w:tblCellMar>
          <w:top w:w="28" w:type="dxa"/>
          <w:left w:w="28" w:type="dxa"/>
          <w:bottom w:w="28" w:type="dxa"/>
          <w:right w:w="28" w:type="dxa"/>
        </w:tblCellMar>
      </w:tblPr>
      <w:tblGrid>
        <w:gridCol w:w="2806"/>
        <w:gridCol w:w="146"/>
        <w:gridCol w:w="146"/>
        <w:gridCol w:w="841"/>
        <w:gridCol w:w="166"/>
        <w:gridCol w:w="146"/>
        <w:gridCol w:w="294"/>
        <w:gridCol w:w="651"/>
        <w:gridCol w:w="391"/>
      </w:tblGrid>
      <w:tr>
        <w:trPr/>
        <w:tc>
          <w:tcPr>
            <w:tcW w:w="28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391"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391"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391"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January 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769,058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(427,083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341,975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(256,481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85,494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Employee Stock Purchase Plan</w:t>
      </w:r>
    </w:p>
    <w:p>
      <w:pPr>
        <w:pStyle w:val="TextBody"/>
        <w:spacing w:before="120" w:after="0"/>
        <w:jc w:val="left"/>
        <w:rPr>
          <w:rFonts w:ascii="Times New Roman" w:hAnsi="Times New Roman"/>
          <w:sz w:val="20"/>
        </w:rPr>
      </w:pPr>
      <w:r>
        <w:rPr>
          <w:rFonts w:ascii="Times New Roman;serif" w:hAnsi="Times New Roman;serif"/>
          <w:b w:val="false"/>
          <w:sz w:val="20"/>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w:t>
      </w:r>
      <w:r>
        <w:rPr>
          <w:rFonts w:ascii="Times New Roman" w:hAnsi="Times New Roman"/>
          <w:sz w:val="20"/>
        </w:rPr>
        <w:t xml:space="preserve"> </w:t>
      </w:r>
      <w:r>
        <w:rPr>
          <w:rFonts w:ascii="Times New Roman;serif" w:hAnsi="Times New Roman;serif"/>
          <w:b w:val="false"/>
          <w:sz w:val="20"/>
        </w:rPr>
        <w:t>of shares of Taysha common stock during any offering period. During the year ended December 31, 2022, stock-based compensation expense related to the ESPP was not material.</w:t>
      </w:r>
    </w:p>
    <w:p>
      <w:pPr>
        <w:pStyle w:val="TextBody"/>
        <w:spacing w:before="240" w:after="0"/>
        <w:jc w:val="left"/>
        <w:rPr>
          <w:rFonts w:ascii="Times New Roman" w:hAnsi="Times New Roman"/>
          <w:sz w:val="20"/>
        </w:rPr>
      </w:pPr>
      <w:r>
        <w:rPr>
          <w:rFonts w:ascii="Times New Roman;serif" w:hAnsi="Times New Roman;serif"/>
          <w:b w:val="false"/>
          <w:sz w:val="20"/>
        </w:rPr>
        <w:t>During the year ended December 31, 2022, $0.2</w:t>
      </w:r>
      <w:r>
        <w:rPr>
          <w:rFonts w:ascii="Times New Roman" w:hAnsi="Times New Roman"/>
          <w:sz w:val="20"/>
        </w:rPr>
        <w:t xml:space="preserve"> </w:t>
      </w:r>
      <w:r>
        <w:rPr>
          <w:rFonts w:ascii="Times New Roman;serif" w:hAnsi="Times New Roman;serif"/>
          <w:b w:val="false"/>
          <w:sz w:val="20"/>
        </w:rPr>
        <w:t>million of stock-based compensation expense was capitalized as part of construction in progress (see Note 3). The following table summarizes the total remaining stock-based compensation expense for the stock options, RSAs and RSUs recorded in the consolidated statements of operations for the years ended December 31, 2022 and 2021 (in thousands):</w:t>
      </w:r>
    </w:p>
    <w:p>
      <w:pPr>
        <w:pStyle w:val="TextBody"/>
        <w:spacing w:before="0" w:after="0"/>
        <w:jc w:val="left"/>
        <w:rPr/>
      </w:pPr>
      <w:r>
        <w:rPr/>
        <w:t> </w:t>
      </w:r>
    </w:p>
    <w:tbl>
      <w:tblPr>
        <w:tblW w:w="6131" w:type="dxa"/>
        <w:jc w:val="left"/>
        <w:tblInd w:w="0" w:type="dxa"/>
        <w:tblCellMar>
          <w:top w:w="28" w:type="dxa"/>
          <w:left w:w="28" w:type="dxa"/>
          <w:bottom w:w="28" w:type="dxa"/>
          <w:right w:w="28" w:type="dxa"/>
        </w:tblCellMar>
      </w:tblPr>
      <w:tblGrid>
        <w:gridCol w:w="3016"/>
        <w:gridCol w:w="146"/>
        <w:gridCol w:w="263"/>
        <w:gridCol w:w="844"/>
        <w:gridCol w:w="182"/>
        <w:gridCol w:w="182"/>
        <w:gridCol w:w="263"/>
        <w:gridCol w:w="844"/>
        <w:gridCol w:w="39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7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2" w:type="dxa"/>
            <w:tcBorders/>
            <w:shd w:fill="auto" w:val="clear"/>
            <w:vAlign w:val="center"/>
          </w:tcPr>
          <w:p>
            <w:pPr>
              <w:pStyle w:val="TableContents"/>
              <w:spacing w:before="0" w:after="0"/>
              <w:ind w:left="0" w:right="0" w:hanging="0"/>
              <w:jc w:val="center"/>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7,608</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8,286</w:t>
            </w:r>
          </w:p>
        </w:tc>
        <w:tc>
          <w:tcPr>
            <w:tcW w:w="39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10,435</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9,898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20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18,043</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18,184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Note 9—Net Loss Per Common Share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Basic net loss per common share is computed by dividing net loss attributable to common stockholders by the weighted-average number of shares of common stock outstanding for the period. Since the Company had a net loss in the periods presented, basic and diluted net loss per common share are the same.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represents the calculation of basic and diluted net loss per common share for the years ended December 31, 2022 and 2021, respectively (in thousands, except share and per share data):</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042"/>
        <w:gridCol w:w="146"/>
        <w:gridCol w:w="211"/>
        <w:gridCol w:w="1036"/>
        <w:gridCol w:w="166"/>
        <w:gridCol w:w="146"/>
        <w:gridCol w:w="211"/>
        <w:gridCol w:w="1036"/>
        <w:gridCol w:w="211"/>
      </w:tblGrid>
      <w:tr>
        <w:trPr/>
        <w:tc>
          <w:tcPr>
            <w:tcW w:w="70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704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211" w:type="dxa"/>
            <w:tcBorders/>
            <w:shd w:fill="auto" w:val="clear"/>
            <w:vAlign w:val="center"/>
          </w:tcPr>
          <w:p>
            <w:pPr>
              <w:pStyle w:val="TableContents"/>
              <w:spacing w:before="0" w:after="0"/>
              <w:ind w:left="0" w:right="0" w:hanging="0"/>
              <w:jc w:val="center"/>
              <w:rPr/>
            </w:pPr>
            <w:r>
              <w:rPr/>
              <w:t> </w:t>
            </w:r>
          </w:p>
        </w:tc>
      </w:tr>
      <w:tr>
        <w:trPr/>
        <w:tc>
          <w:tcPr>
            <w:tcW w:w="704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(166,014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(174,523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of common stock outstanding used to compute net loss per common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43,952,015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37,650,566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common stock equivalents outstanding as of December 31, 2022 and 2021, respectively, were excluded from the computation of diluted net loss per share attributable to common stockholders for the periods presented because including them would have been anti</w:t>
        <w:noBreakHyphen/>
        <w:t>dilutive:</w:t>
      </w:r>
    </w:p>
    <w:tbl>
      <w:tblPr>
        <w:tblW w:w="4400" w:type="dxa"/>
        <w:jc w:val="left"/>
        <w:tblInd w:w="0" w:type="dxa"/>
        <w:tblCellMar>
          <w:top w:w="28" w:type="dxa"/>
          <w:left w:w="28" w:type="dxa"/>
          <w:bottom w:w="28" w:type="dxa"/>
          <w:right w:w="28" w:type="dxa"/>
        </w:tblCellMar>
      </w:tblPr>
      <w:tblGrid>
        <w:gridCol w:w="1381"/>
        <w:gridCol w:w="146"/>
        <w:gridCol w:w="148"/>
        <w:gridCol w:w="947"/>
        <w:gridCol w:w="146"/>
        <w:gridCol w:w="146"/>
        <w:gridCol w:w="148"/>
        <w:gridCol w:w="947"/>
        <w:gridCol w:w="391"/>
      </w:tblGrid>
      <w:tr>
        <w:trPr/>
        <w:tc>
          <w:tcPr>
            <w:tcW w:w="1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3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1,257,844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1,886,765</w:t>
            </w:r>
          </w:p>
        </w:tc>
        <w:tc>
          <w:tcPr>
            <w:tcW w:w="391" w:type="dxa"/>
            <w:tcBorders/>
            <w:shd w:fill="auto" w:val="clear"/>
            <w:vAlign w:val="center"/>
          </w:tcPr>
          <w:p>
            <w:pPr>
              <w:pStyle w:val="TableContents"/>
              <w:spacing w:before="0" w:after="0"/>
              <w:ind w:left="0" w:right="0" w:hanging="0"/>
              <w:jc w:val="left"/>
              <w:rPr/>
            </w:pPr>
            <w:r>
              <w:rPr/>
              <w:t> </w:t>
            </w:r>
          </w:p>
        </w:tc>
      </w:tr>
      <w:tr>
        <w:trPr/>
        <w:tc>
          <w:tcPr>
            <w:tcW w:w="1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RSAs</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341,975</w:t>
            </w:r>
          </w:p>
        </w:tc>
        <w:tc>
          <w:tcPr>
            <w:tcW w:w="391" w:type="dxa"/>
            <w:tcBorders/>
            <w:shd w:fill="auto" w:val="clear"/>
            <w:vAlign w:val="center"/>
          </w:tcPr>
          <w:p>
            <w:pPr>
              <w:pStyle w:val="TableContents"/>
              <w:spacing w:before="0" w:after="0"/>
              <w:ind w:left="0" w:right="0" w:hanging="0"/>
              <w:jc w:val="left"/>
              <w:rPr/>
            </w:pPr>
            <w:r>
              <w:rPr/>
              <w:t> </w:t>
            </w:r>
          </w:p>
        </w:tc>
      </w:tr>
      <w:tr>
        <w:trPr/>
        <w:tc>
          <w:tcPr>
            <w:tcW w:w="13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6,158,078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3,649,962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3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7,501,416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5,878,702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F-23</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10—Income Taxes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Provision for income taxes</w:t>
      </w:r>
    </w:p>
    <w:p>
      <w:pPr>
        <w:pStyle w:val="TextBody"/>
        <w:spacing w:before="120" w:after="0"/>
        <w:jc w:val="left"/>
        <w:rPr>
          <w:rFonts w:ascii="Times New Roman" w:hAnsi="Times New Roman"/>
          <w:sz w:val="20"/>
        </w:rPr>
      </w:pPr>
      <w:r>
        <w:rPr>
          <w:rFonts w:ascii="Times New Roman;serif" w:hAnsi="Times New Roman;serif"/>
          <w:b w:val="false"/>
          <w:sz w:val="20"/>
        </w:rPr>
        <w:t>There is no</w:t>
      </w:r>
      <w:r>
        <w:rPr>
          <w:rFonts w:ascii="Times New Roman" w:hAnsi="Times New Roman"/>
          <w:sz w:val="20"/>
        </w:rPr>
        <w:t xml:space="preserve"> </w:t>
      </w:r>
      <w:r>
        <w:rPr>
          <w:rFonts w:ascii="Times New Roman;serif" w:hAnsi="Times New Roman;serif"/>
          <w:b w:val="false"/>
          <w:sz w:val="20"/>
        </w:rPr>
        <w:t>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On March 27, 2020, the CARES Act, an economic relief package in response to the COVID-19 pandemic, was signed into law. The CARES Act contains several corporate income tax provisions, including making remaining alternative minimum tax credits immediately refundable; providing a 5-year carryback of NOL carryforwards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The CARES Act did not have a material effect on the realizability of deferred income tax assets or tax expense in 2022 or 2021.</w:t>
      </w:r>
    </w:p>
    <w:p>
      <w:pPr>
        <w:pStyle w:val="TextBody"/>
        <w:spacing w:before="160" w:after="0"/>
        <w:jc w:val="left"/>
        <w:rPr>
          <w:rFonts w:ascii="Times New Roman" w:hAnsi="Times New Roman"/>
          <w:sz w:val="20"/>
        </w:rPr>
      </w:pPr>
      <w:r>
        <w:rPr>
          <w:rFonts w:ascii="Times New Roman;serif" w:hAnsi="Times New Roman;serif"/>
          <w:b w:val="false"/>
          <w:sz w:val="20"/>
        </w:rPr>
        <w:t>Beginning in 2022, the 2017 Tax Cuts and Jobs Act amended Section 174 to eliminate current-year deductibility of research and experimentation (R&amp;E) expenditures and software development costs (collectively, R&amp;E expenditures) and instead require taxpayers to charge their R&amp;E expenditures to a capital account amortized over five years</w:t>
      </w:r>
      <w:r>
        <w:rPr>
          <w:rFonts w:ascii="Times New Roman" w:hAnsi="Times New Roman"/>
          <w:sz w:val="20"/>
        </w:rPr>
        <w:t xml:space="preserve"> </w:t>
      </w:r>
      <w:r>
        <w:rPr>
          <w:rFonts w:ascii="Times New Roman;serif" w:hAnsi="Times New Roman;serif"/>
          <w:b w:val="false"/>
          <w:sz w:val="20"/>
        </w:rPr>
        <w:t>(15 years</w:t>
      </w:r>
      <w:r>
        <w:rPr>
          <w:rFonts w:ascii="Times New Roman" w:hAnsi="Times New Roman"/>
          <w:sz w:val="20"/>
        </w:rPr>
        <w:t xml:space="preserve"> </w:t>
      </w:r>
      <w:r>
        <w:rPr>
          <w:rFonts w:ascii="Times New Roman;serif" w:hAnsi="Times New Roman;serif"/>
          <w:b w:val="false"/>
          <w:sz w:val="20"/>
        </w:rPr>
        <w:t>for expenditures attributable to R&amp;E activity performed outside the United States). The Company generated a deferred tax asset for capitalized R&amp;E expenditures for the year ended December 31, 2022 which is fully offset by a valuation allowance.</w:t>
        <w:br/>
      </w:r>
      <w:r>
        <w:rPr>
          <w:rFonts w:ascii="Times New Roman" w:hAnsi="Times New Roman"/>
          <w:sz w:val="20"/>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August 16, 2022, President Biden signed the Inflation Reduction Act of 2022, or the Inflation Act, into law. The Inflation Act contains certain tax measures, including a corporate alternative minimum tax of 15% on some large corporations and an excise tax of 1% on corporate stock buy-backs. The various provisions of the Inflation Act do not have a material impact on the Company’s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effective tax rate of the Company's provision (benefit) for income taxes differs from the federal statutory rate as follows:</w:t>
      </w:r>
    </w:p>
    <w:p>
      <w:pPr>
        <w:pStyle w:val="TextBody"/>
        <w:spacing w:before="0" w:after="0"/>
        <w:jc w:val="left"/>
        <w:rPr/>
      </w:pPr>
      <w:r>
        <w:rPr/>
        <w:t> </w:t>
      </w:r>
    </w:p>
    <w:tbl>
      <w:tblPr>
        <w:tblW w:w="6295" w:type="dxa"/>
        <w:jc w:val="left"/>
        <w:tblInd w:w="0" w:type="dxa"/>
        <w:tblCellMar>
          <w:top w:w="28" w:type="dxa"/>
          <w:left w:w="28" w:type="dxa"/>
          <w:bottom w:w="28" w:type="dxa"/>
          <w:right w:w="28" w:type="dxa"/>
        </w:tblCellMar>
      </w:tblPr>
      <w:tblGrid>
        <w:gridCol w:w="3196"/>
        <w:gridCol w:w="146"/>
        <w:gridCol w:w="185"/>
        <w:gridCol w:w="801"/>
        <w:gridCol w:w="420"/>
        <w:gridCol w:w="185"/>
        <w:gridCol w:w="185"/>
        <w:gridCol w:w="801"/>
        <w:gridCol w:w="376"/>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376" w:type="dxa"/>
            <w:tcBorders/>
            <w:shd w:fill="auto" w:val="clear"/>
            <w:vAlign w:val="center"/>
          </w:tcPr>
          <w:p>
            <w:pPr>
              <w:pStyle w:val="TableContents"/>
              <w:spacing w:before="0" w:after="0"/>
              <w:ind w:left="0" w:right="0" w:hanging="0"/>
              <w:jc w:val="center"/>
              <w:rPr/>
            </w:pPr>
            <w:r>
              <w:rPr/>
              <w:t> </w:t>
            </w:r>
          </w:p>
        </w:tc>
      </w:tr>
      <w:tr>
        <w:trPr/>
        <w:tc>
          <w:tcPr>
            <w:tcW w:w="3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center"/>
              <w:rPr/>
            </w:pPr>
            <w:r>
              <w:rPr/>
              <w:t> </w:t>
            </w:r>
          </w:p>
        </w:tc>
        <w:tc>
          <w:tcPr>
            <w:tcW w:w="9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Statutory rate</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tax</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0.25</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tax credits</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permanent differences</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(0.55</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valuation allowance</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(25.61</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(27.76</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provision (benefit)</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4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Deferred tax assets and valuation allowance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Deferred tax assets reflect the tax effects of NOLs, tax credit carryovers, and temporary differences between the carrying amounts of assets and liabilities for financial reporting purposes and the amounts used for income tax purposes. At December 31, 2022 and 2021, the significant components of the Company’s net deferred tax assets and liabilities are as follows (in thousands):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F-24</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tbl>
      <w:tblPr>
        <w:tblW w:w="5966" w:type="dxa"/>
        <w:jc w:val="left"/>
        <w:tblInd w:w="0" w:type="dxa"/>
        <w:tblCellMar>
          <w:top w:w="28" w:type="dxa"/>
          <w:left w:w="28" w:type="dxa"/>
          <w:bottom w:w="28" w:type="dxa"/>
          <w:right w:w="28" w:type="dxa"/>
        </w:tblCellMar>
      </w:tblPr>
      <w:tblGrid>
        <w:gridCol w:w="2851"/>
        <w:gridCol w:w="146"/>
        <w:gridCol w:w="235"/>
        <w:gridCol w:w="939"/>
        <w:gridCol w:w="185"/>
        <w:gridCol w:w="163"/>
        <w:gridCol w:w="235"/>
        <w:gridCol w:w="821"/>
        <w:gridCol w:w="391"/>
      </w:tblGrid>
      <w:tr>
        <w:trPr/>
        <w:tc>
          <w:tcPr>
            <w:tcW w:w="2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0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w:t>
            </w:r>
          </w:p>
        </w:tc>
        <w:tc>
          <w:tcPr>
            <w:tcW w:w="146" w:type="dxa"/>
            <w:tcBorders/>
            <w:shd w:fill="auto" w:val="clear"/>
            <w:vAlign w:val="center"/>
          </w:tcPr>
          <w:p>
            <w:pPr>
              <w:pStyle w:val="TableContents"/>
              <w:spacing w:before="0" w:after="0"/>
              <w:ind w:left="0" w:right="0" w:hanging="0"/>
              <w:jc w:val="left"/>
              <w:rPr/>
            </w:pPr>
            <w:r>
              <w:rPr/>
              <w:t> </w:t>
            </w:r>
          </w:p>
        </w:tc>
        <w:tc>
          <w:tcPr>
            <w:tcW w:w="1174" w:type="dxa"/>
            <w:gridSpan w:val="2"/>
            <w:tcBorders/>
            <w:shd w:fill="auto" w:val="cle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center"/>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Net operating loss carryforwards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45,609</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37,005</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Tax credit carryforwards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23,216</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14,813</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Accruals and reserves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689</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1,467</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Intangibles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4,607</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4,169</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Non-qualified stock options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3,647</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674</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R&amp;E expenditures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15,563</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4,574</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Right-of-use asset impairments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5,525</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8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deferred tax assets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103,431</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58,231</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1174" w:type="dxa"/>
            <w:gridSpan w:val="2"/>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Right-of-use assets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(2,308</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Fixed assets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8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(2,355</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8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Valuation allowance</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(101,076</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deferred taxes</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The valuation allowance is equal to the total net deferred tax asset amounts as of December 31, 2022 and 2021. 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net of liabilities arising from the above-mentioned future tax benefits is currently not likely to be realized and, accordingly, has provided a valuation allowance.</w:t>
      </w:r>
    </w:p>
    <w:p>
      <w:pPr>
        <w:pStyle w:val="TextBody"/>
        <w:spacing w:before="240" w:after="0"/>
        <w:jc w:val="left"/>
        <w:rPr>
          <w:rFonts w:ascii="Times New Roman" w:hAnsi="Times New Roman"/>
          <w:sz w:val="20"/>
        </w:rPr>
      </w:pPr>
      <w:r>
        <w:rPr>
          <w:rFonts w:ascii="Times New Roman;serif" w:hAnsi="Times New Roman;serif"/>
          <w:b w:val="false"/>
          <w:sz w:val="20"/>
        </w:rPr>
        <w:t>The valuation allowance increased by $42.8</w:t>
      </w:r>
      <w:r>
        <w:rPr>
          <w:rFonts w:ascii="Times New Roman" w:hAnsi="Times New Roman"/>
          <w:sz w:val="20"/>
        </w:rPr>
        <w:t xml:space="preserve"> </w:t>
      </w:r>
      <w:r>
        <w:rPr>
          <w:rFonts w:ascii="Times New Roman;serif" w:hAnsi="Times New Roman;serif"/>
          <w:b w:val="false"/>
          <w:sz w:val="20"/>
        </w:rPr>
        <w:t>million during the year ended December 31, 2022 and by $48.4</w:t>
      </w:r>
      <w:r>
        <w:rPr>
          <w:rFonts w:ascii="Times New Roman" w:hAnsi="Times New Roman"/>
          <w:sz w:val="20"/>
        </w:rPr>
        <w:t xml:space="preserve"> </w:t>
      </w:r>
      <w:r>
        <w:rPr>
          <w:rFonts w:ascii="Times New Roman;serif" w:hAnsi="Times New Roman;serif"/>
          <w:b w:val="false"/>
          <w:sz w:val="20"/>
        </w:rPr>
        <w:t>million during the year ended December 31, 2021.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December 31, 2022, there were net federal operating losses of $216.3</w:t>
      </w:r>
      <w:r>
        <w:rPr>
          <w:rFonts w:ascii="Times New Roman" w:hAnsi="Times New Roman"/>
          <w:sz w:val="20"/>
        </w:rPr>
        <w:t xml:space="preserve"> </w:t>
      </w:r>
      <w:r>
        <w:rPr>
          <w:rFonts w:ascii="Times New Roman;serif" w:hAnsi="Times New Roman;serif"/>
          <w:b w:val="false"/>
          <w:sz w:val="20"/>
        </w:rPr>
        <w:t>million, state operating losses of $4.5</w:t>
      </w:r>
      <w:r>
        <w:rPr>
          <w:rFonts w:ascii="Times New Roman" w:hAnsi="Times New Roman"/>
          <w:sz w:val="20"/>
        </w:rPr>
        <w:t xml:space="preserve"> </w:t>
      </w:r>
      <w:r>
        <w:rPr>
          <w:rFonts w:ascii="Times New Roman;serif" w:hAnsi="Times New Roman;serif"/>
          <w:b w:val="false"/>
          <w:sz w:val="20"/>
        </w:rPr>
        <w:t>million, federal tax credit carryforward of $30.2</w:t>
      </w:r>
      <w:r>
        <w:rPr>
          <w:rFonts w:ascii="Times New Roman" w:hAnsi="Times New Roman"/>
          <w:sz w:val="20"/>
        </w:rPr>
        <w:t xml:space="preserve"> </w:t>
      </w:r>
      <w:r>
        <w:rPr>
          <w:rFonts w:ascii="Times New Roman;serif" w:hAnsi="Times New Roman;serif"/>
          <w:b w:val="false"/>
          <w:sz w:val="20"/>
        </w:rPr>
        <w:t>million, and state tax credit carryforward of $1.3</w:t>
      </w:r>
      <w:r>
        <w:rPr>
          <w:rFonts w:ascii="Times New Roman" w:hAnsi="Times New Roman"/>
          <w:sz w:val="20"/>
        </w:rPr>
        <w:t xml:space="preserve"> </w:t>
      </w:r>
      <w:r>
        <w:rPr>
          <w:rFonts w:ascii="Times New Roman;serif" w:hAnsi="Times New Roman;serif"/>
          <w:b w:val="false"/>
          <w:sz w:val="20"/>
        </w:rPr>
        <w:t>million. The net operating losses and state tax credit carryforward do not expire. As of December 31, 2021, there were net federal operating losses of $175.6</w:t>
      </w:r>
      <w:r>
        <w:rPr>
          <w:rFonts w:ascii="Times New Roman" w:hAnsi="Times New Roman"/>
          <w:sz w:val="20"/>
        </w:rPr>
        <w:t xml:space="preserve"> </w:t>
      </w:r>
      <w:r>
        <w:rPr>
          <w:rFonts w:ascii="Times New Roman;serif" w:hAnsi="Times New Roman;serif"/>
          <w:b w:val="false"/>
          <w:sz w:val="20"/>
        </w:rPr>
        <w:t>million, state operating losses of $4.1</w:t>
      </w:r>
      <w:r>
        <w:rPr>
          <w:rFonts w:ascii="Times New Roman" w:hAnsi="Times New Roman"/>
          <w:sz w:val="20"/>
        </w:rPr>
        <w:t xml:space="preserve"> </w:t>
      </w:r>
      <w:r>
        <w:rPr>
          <w:rFonts w:ascii="Times New Roman;serif" w:hAnsi="Times New Roman;serif"/>
          <w:b w:val="false"/>
          <w:sz w:val="20"/>
        </w:rPr>
        <w:t>million, federal tax credit carryforward of $19.0</w:t>
      </w:r>
      <w:r>
        <w:rPr>
          <w:rFonts w:ascii="Times New Roman" w:hAnsi="Times New Roman"/>
          <w:sz w:val="20"/>
        </w:rPr>
        <w:t xml:space="preserve"> </w:t>
      </w:r>
      <w:r>
        <w:rPr>
          <w:rFonts w:ascii="Times New Roman;serif" w:hAnsi="Times New Roman;serif"/>
          <w:b w:val="false"/>
          <w:sz w:val="20"/>
        </w:rPr>
        <w:t>million, and state tax credit carryforward of less than $1.0</w:t>
      </w:r>
      <w:r>
        <w:rPr>
          <w:rFonts w:ascii="Times New Roman" w:hAnsi="Times New Roman"/>
          <w:sz w:val="20"/>
        </w:rPr>
        <w:t xml:space="preserve"> </w:t>
      </w:r>
      <w:r>
        <w:rPr>
          <w:rFonts w:ascii="Times New Roman;serif" w:hAnsi="Times New Roman;serif"/>
          <w:b w:val="false"/>
          <w:sz w:val="20"/>
        </w:rPr>
        <w:t>million. The federal tax credit carryforward will expire in 2040. The Company files federal, foreign and state income tax returns and, in the normal course of business, the Company is subject to examination by these taxing authorities. All periods since Inception are subject to examination by these taxing authorities, where applicable. There are currently no pending income tax examinations.</w:t>
      </w:r>
    </w:p>
    <w:p>
      <w:pPr>
        <w:pStyle w:val="TextBody"/>
        <w:spacing w:before="240" w:after="0"/>
        <w:jc w:val="left"/>
        <w:rPr>
          <w:rFonts w:ascii="Times New Roman" w:hAnsi="Times New Roman"/>
          <w:sz w:val="20"/>
        </w:rPr>
      </w:pPr>
      <w:r>
        <w:rPr>
          <w:rFonts w:ascii="Times New Roman;serif" w:hAnsi="Times New Roman;serif"/>
          <w:b w:val="false"/>
          <w:sz w:val="20"/>
        </w:rPr>
        <w:t>Pursuant to Section 382 of the Internal Revenue Code, certain substantial changes in the Company's ownership may result in a limitation on the amount of NOL carryforwards and tax credit carryforwards that may be used in future years. Utilization of the NOL and tax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tax credit carryforwards that can be utilized annually to offset future taxable income and tax, respectively. The Company has completed a study to assess whether an ownership change has occurred through December 31, 2022. Based on this analysis, several ownership changes were identified in 2020. As a result of the ownership changes, there were no NOLs or research credits being permanently limited. As of December 31, 2022, there are $2.9</w:t>
      </w:r>
      <w:r>
        <w:rPr>
          <w:rFonts w:ascii="Times New Roman" w:hAnsi="Times New Roman"/>
          <w:sz w:val="20"/>
        </w:rPr>
        <w:t xml:space="preserve"> </w:t>
      </w:r>
      <w:r>
        <w:rPr>
          <w:rFonts w:ascii="Times New Roman;serif" w:hAnsi="Times New Roman;serif"/>
          <w:b w:val="false"/>
          <w:sz w:val="20"/>
        </w:rPr>
        <w:t>million of gross NOLs that are however subject to an annual limitation. The Company could experience additional ownership changes subsequent to December 31, 2022, which may result in additional limitations on the utilization of NOL carryforwards and credits.</w:t>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11—Commitments and Contingencies</w:t>
      </w:r>
    </w:p>
    <w:p>
      <w:pPr>
        <w:pStyle w:val="TextBody"/>
        <w:spacing w:before="120" w:after="0"/>
        <w:jc w:val="left"/>
        <w:rPr>
          <w:rFonts w:ascii="Times New Roman;serif" w:hAnsi="Times New Roman;serif"/>
          <w:b/>
          <w:i/>
          <w:sz w:val="20"/>
        </w:rPr>
      </w:pPr>
      <w:r>
        <w:rPr>
          <w:rFonts w:ascii="Times New Roman;serif" w:hAnsi="Times New Roman;serif"/>
          <w:b/>
          <w:i/>
          <w:sz w:val="20"/>
        </w:rPr>
        <w:t>Litigation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F-25</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360" w:after="0"/>
        <w:jc w:val="left"/>
        <w:rPr>
          <w:rFonts w:ascii="Times New Roman;serif" w:hAnsi="Times New Roman;serif"/>
          <w:b/>
          <w:i/>
          <w:sz w:val="20"/>
        </w:rPr>
      </w:pPr>
      <w:r>
        <w:rPr>
          <w:rFonts w:ascii="Times New Roman;serif" w:hAnsi="Times New Roman;serif"/>
          <w:b/>
          <w:i/>
          <w:sz w:val="20"/>
        </w:rPr>
        <w:t>Commitments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normal course of business, the Company enters into contracts that contain a variety of indemnifications with its employees, licensors, suppliers and service providers. The Company’s maximum exposure under these arrangements is unknown at December 31, 2022. The Company does not anticipate recognizing any significant losses relating to these arrangements.</w:t>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12— Strategic Reprioritization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March 2022, the Company implemented changes to the Company’s organizational structure as well as a broader operational cost reduction plan to enable the Company to focus on specific clinical-stage programs for GAN and Rett syndrome. Substantially all other research and development activities have been paused to increase operational efficiency.</w:t>
      </w:r>
    </w:p>
    <w:p>
      <w:pPr>
        <w:pStyle w:val="TextBody"/>
        <w:spacing w:before="240" w:after="0"/>
        <w:jc w:val="left"/>
        <w:rPr>
          <w:rFonts w:ascii="Times New Roman" w:hAnsi="Times New Roman"/>
          <w:sz w:val="20"/>
        </w:rPr>
      </w:pPr>
      <w:r>
        <w:rPr>
          <w:rFonts w:ascii="Times New Roman;serif" w:hAnsi="Times New Roman;serif"/>
          <w:b w:val="false"/>
          <w:sz w:val="20"/>
        </w:rPr>
        <w:t xml:space="preserve">In connection with prioritization of programs, the Company reduced headcount by approximately 35% across all functions in March 2022. In accordance with ASC 420, </w:t>
      </w:r>
      <w:r>
        <w:rPr>
          <w:rFonts w:ascii="Times New Roman;serif" w:hAnsi="Times New Roman;serif"/>
          <w:b w:val="false"/>
          <w:i/>
          <w:sz w:val="20"/>
        </w:rPr>
        <w:t>Exit and Disposal Activities</w:t>
      </w:r>
      <w:r>
        <w:rPr>
          <w:rFonts w:ascii="Times New Roman;serif" w:hAnsi="Times New Roman;serif"/>
          <w:b w:val="false"/>
          <w:sz w:val="20"/>
        </w:rPr>
        <w:t>, the Company recorded one-time severance and termination-related costs of $2.6</w:t>
      </w:r>
      <w:r>
        <w:rPr>
          <w:rFonts w:ascii="Times New Roman" w:hAnsi="Times New Roman"/>
          <w:sz w:val="20"/>
        </w:rPr>
        <w:t xml:space="preserve"> </w:t>
      </w:r>
      <w:r>
        <w:rPr>
          <w:rFonts w:ascii="Times New Roman;serif" w:hAnsi="Times New Roman;serif"/>
          <w:b w:val="false"/>
          <w:sz w:val="20"/>
        </w:rPr>
        <w:t>million in the consolidated statements of operations for the year ended December 31, 2022, primarily within research and development expenses. In December 2022, the Company further reduced headcount and recorded additional one-time severance and termination related costs of $1.5</w:t>
      </w:r>
      <w:r>
        <w:rPr>
          <w:rFonts w:ascii="Times New Roman" w:hAnsi="Times New Roman"/>
          <w:sz w:val="20"/>
        </w:rPr>
        <w:t xml:space="preserve"> </w:t>
      </w:r>
      <w:r>
        <w:rPr>
          <w:rFonts w:ascii="Times New Roman;serif" w:hAnsi="Times New Roman;serif"/>
          <w:b w:val="false"/>
          <w:sz w:val="20"/>
        </w:rPr>
        <w:t>million within research and development and general and administrative expenses. The Company expects payment of these costs to be complete by December 31, 2023. The amount of accrued severance recorded as of December 31, 2022 is as follows (amounts in thousands):</w:t>
      </w:r>
    </w:p>
    <w:p>
      <w:pPr>
        <w:pStyle w:val="TextBody"/>
        <w:spacing w:before="120" w:after="0"/>
        <w:jc w:val="left"/>
        <w:rPr/>
      </w:pPr>
      <w:r>
        <w:rPr/>
        <w:t> </w:t>
      </w:r>
    </w:p>
    <w:tbl>
      <w:tblPr>
        <w:tblW w:w="4933" w:type="dxa"/>
        <w:jc w:val="left"/>
        <w:tblInd w:w="0" w:type="dxa"/>
        <w:tblCellMar>
          <w:top w:w="28" w:type="dxa"/>
          <w:left w:w="28" w:type="dxa"/>
          <w:bottom w:w="28" w:type="dxa"/>
          <w:right w:w="28" w:type="dxa"/>
        </w:tblCellMar>
      </w:tblPr>
      <w:tblGrid>
        <w:gridCol w:w="2386"/>
        <w:gridCol w:w="146"/>
        <w:gridCol w:w="547"/>
        <w:gridCol w:w="1643"/>
        <w:gridCol w:w="211"/>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severance recorded</w:t>
            </w:r>
          </w:p>
        </w:tc>
        <w:tc>
          <w:tcPr>
            <w:tcW w:w="146" w:type="dxa"/>
            <w:tcBorders/>
            <w:shd w:fill="auto" w:val="clear"/>
            <w:vAlign w:val="center"/>
          </w:tcPr>
          <w:p>
            <w:pPr>
              <w:pStyle w:val="TableContents"/>
              <w:spacing w:before="0" w:after="0"/>
              <w:ind w:left="0" w:right="0" w:hanging="0"/>
              <w:jc w:val="right"/>
              <w:rPr/>
            </w:pPr>
            <w:r>
              <w:rPr/>
              <w:t> </w:t>
            </w:r>
          </w:p>
        </w:tc>
        <w:tc>
          <w:tcPr>
            <w:tcW w:w="5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4,035</w:t>
            </w:r>
          </w:p>
        </w:tc>
        <w:tc>
          <w:tcPr>
            <w:tcW w:w="21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Severance paid</w:t>
            </w:r>
          </w:p>
        </w:tc>
        <w:tc>
          <w:tcPr>
            <w:tcW w:w="146" w:type="dxa"/>
            <w:tcBorders/>
            <w:shd w:fill="auto" w:val="clear"/>
            <w:vAlign w:val="center"/>
          </w:tcPr>
          <w:p>
            <w:pPr>
              <w:pStyle w:val="TableContents"/>
              <w:spacing w:before="0" w:after="0"/>
              <w:ind w:left="0" w:right="0" w:hanging="0"/>
              <w:jc w:val="left"/>
              <w:rPr/>
            </w:pPr>
            <w:r>
              <w:rPr/>
              <w:t> </w:t>
            </w:r>
          </w:p>
        </w:tc>
        <w:tc>
          <w:tcPr>
            <w:tcW w:w="5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severance balance</w:t>
            </w:r>
          </w:p>
        </w:tc>
        <w:tc>
          <w:tcPr>
            <w:tcW w:w="146" w:type="dxa"/>
            <w:tcBorders/>
            <w:shd w:fill="auto" w:val="clear"/>
            <w:vAlign w:val="center"/>
          </w:tcPr>
          <w:p>
            <w:pPr>
              <w:pStyle w:val="TableContents"/>
              <w:spacing w:before="0" w:after="0"/>
              <w:ind w:left="0" w:right="0" w:hanging="0"/>
              <w:jc w:val="right"/>
              <w:rPr/>
            </w:pPr>
            <w:r>
              <w:rPr/>
              <w:t> </w:t>
            </w:r>
          </w:p>
        </w:tc>
        <w:tc>
          <w:tcPr>
            <w:tcW w:w="5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13 – Retirement Plan</w:t>
      </w:r>
    </w:p>
    <w:p>
      <w:pPr>
        <w:pStyle w:val="TextBody"/>
        <w:spacing w:before="160" w:after="0"/>
        <w:jc w:val="left"/>
        <w:rPr>
          <w:rFonts w:ascii="Times New Roman" w:hAnsi="Times New Roman"/>
          <w:sz w:val="20"/>
        </w:rPr>
      </w:pPr>
      <w:r>
        <w:rPr>
          <w:rFonts w:ascii="Times New Roman;serif" w:hAnsi="Times New Roman;serif"/>
          <w:b w:val="false"/>
          <w:sz w:val="20"/>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$0.7</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to the 401(k) retirement savings plan for the years ended December 31, 2022 and 2021, respectively.</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Note 14—Subsequent Events</w:t>
      </w:r>
    </w:p>
    <w:p>
      <w:pPr>
        <w:pStyle w:val="TextBody"/>
        <w:spacing w:before="120" w:after="0"/>
        <w:jc w:val="left"/>
        <w:rPr>
          <w:rFonts w:ascii="Times New Roman" w:hAnsi="Times New Roman"/>
          <w:sz w:val="20"/>
        </w:rPr>
      </w:pPr>
      <w:r>
        <w:rPr>
          <w:rFonts w:ascii="Times New Roman;serif" w:hAnsi="Times New Roman;serif"/>
          <w:b w:val="false"/>
          <w:sz w:val="20"/>
        </w:rPr>
        <w:t>In February 2023, the Company granted options to purchase an aggregate of approximately 1.2</w:t>
      </w:r>
      <w:r>
        <w:rPr>
          <w:rFonts w:ascii="Times New Roman" w:hAnsi="Times New Roman"/>
          <w:sz w:val="20"/>
        </w:rPr>
        <w:t xml:space="preserve"> </w:t>
      </w:r>
      <w:r>
        <w:rPr>
          <w:rFonts w:ascii="Times New Roman;serif" w:hAnsi="Times New Roman;serif"/>
          <w:b w:val="false"/>
          <w:sz w:val="20"/>
        </w:rPr>
        <w:t>million shares of its common stock at an exercise price of $1.18</w:t>
      </w:r>
      <w:r>
        <w:rPr>
          <w:rFonts w:ascii="Times New Roman" w:hAnsi="Times New Roman"/>
          <w:sz w:val="20"/>
        </w:rPr>
        <w:t xml:space="preserve"> </w:t>
      </w:r>
      <w:r>
        <w:rPr>
          <w:rFonts w:ascii="Times New Roman;serif" w:hAnsi="Times New Roman;serif"/>
          <w:b w:val="false"/>
          <w:sz w:val="20"/>
        </w:rPr>
        <w:t>per share, and also granted approximately 0.2</w:t>
      </w:r>
      <w:r>
        <w:rPr>
          <w:rFonts w:ascii="Times New Roman" w:hAnsi="Times New Roman"/>
          <w:sz w:val="20"/>
        </w:rPr>
        <w:t xml:space="preserve"> </w:t>
      </w:r>
      <w:r>
        <w:rPr>
          <w:rFonts w:ascii="Times New Roman;serif" w:hAnsi="Times New Roman;serif"/>
          <w:b w:val="false"/>
          <w:sz w:val="20"/>
        </w:rPr>
        <w:t>million restricted stock units. These equity awards generally vest over a four year</w:t>
      </w:r>
      <w:r>
        <w:rPr>
          <w:rFonts w:ascii="Times New Roman" w:hAnsi="Times New Roman"/>
          <w:sz w:val="20"/>
        </w:rPr>
        <w:t xml:space="preserve"> </w:t>
      </w:r>
      <w:r>
        <w:rPr>
          <w:rFonts w:ascii="Times New Roman;serif" w:hAnsi="Times New Roman;serif"/>
          <w:b w:val="false"/>
          <w:sz w:val="20"/>
        </w:rPr>
        <w:t>period and are subject to service-based vesting conditions. Certain awards contain performance conditions tied to the development of the Rett program, as well as market conditions tied to the appreciation of the Company’s stock price by December 31,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January 12, 2023, the Company and Suyash Prasad, the Company’s Chief Medical Officer, mutually agreed to Dr. Prasad’s separation from the Company, effective immediately. In connection with Dr. Prasad’s separation from the Company, the Company intends to enter into a separation agreement (the “Separation Agreement”) with Dr. Prasad that will provide for the terms of Dr. Prasad’s separation from employment. Such Separation Agreement has not yet been finalized.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December 16, 2022, RA Session II, the former President and Chief Executive Officer of the Company, resigned from his operating role, effective immediately. At such time, Mr. Session remained a member of the Board. In connection with his resignation, Mr. Session and the Company entered into the Separation Agreement, dated as of March 7, 2023, providing for the terms of Mr. Session’s separation from employment with the Company. Under the Separation Agreement, the Company has agreed to provide Mr. Session with salary continuation payments, in an aggregate amount equal to his annualized base salary payable on the Company’s regular payroll commencing on the first payroll run occurring on or after March 15, 2023, and continuing for 12 months thereafter, less all applicable taxes and withholdings. The Separation Agreement contains mutual releases, subject to customary exceptions, and mutual covenants not to disparage.</w:t>
      </w:r>
    </w:p>
    <w:p>
      <w:pPr>
        <w:pStyle w:val="TextBody"/>
        <w:spacing w:before="240" w:after="0"/>
        <w:jc w:val="left"/>
        <w:rPr>
          <w:rFonts w:ascii="Times New Roman" w:hAnsi="Times New Roman"/>
          <w:sz w:val="20"/>
        </w:rPr>
      </w:pPr>
      <w:r>
        <w:rPr>
          <w:rFonts w:ascii="Times New Roman;serif" w:hAnsi="Times New Roman;serif"/>
          <w:b w:val="false"/>
          <w:sz w:val="20"/>
        </w:rPr>
        <w:t>In connection with Mr. Session’s execution of the Separation Agreement, on March 7, 2023 the Compensation Committee of the Board awarded Mr. Session vested RSU's in respect of 251,296</w:t>
      </w:r>
      <w:r>
        <w:rPr>
          <w:rFonts w:ascii="Times New Roman" w:hAnsi="Times New Roman"/>
          <w:sz w:val="20"/>
        </w:rPr>
        <w:t xml:space="preserve"> </w:t>
      </w:r>
      <w:r>
        <w:rPr>
          <w:rFonts w:ascii="Times New Roman;serif" w:hAnsi="Times New Roman;serif"/>
          <w:b w:val="false"/>
          <w:sz w:val="20"/>
        </w:rPr>
        <w:t>shares of the Company’s common stock, which replaced a prior stock option award of 199,500</w:t>
      </w:r>
      <w:r>
        <w:rPr>
          <w:rFonts w:ascii="Times New Roman" w:hAnsi="Times New Roman"/>
          <w:sz w:val="20"/>
        </w:rPr>
        <w:t xml:space="preserve"> </w:t>
      </w:r>
      <w:r>
        <w:rPr>
          <w:rFonts w:ascii="Times New Roman;serif" w:hAnsi="Times New Roman;serif"/>
          <w:b w:val="false"/>
          <w:sz w:val="20"/>
        </w:rPr>
        <w:t>shares that was canceled.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F-26</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Taysha Gene Therapies, Inc.</w:t>
      </w:r>
    </w:p>
    <w:p>
      <w:pPr>
        <w:pStyle w:val="TextBody"/>
        <w:spacing w:before="0" w:after="240"/>
        <w:jc w:val="center"/>
        <w:rPr>
          <w:rFonts w:ascii="Times New Roman;serif" w:hAnsi="Times New Roman;serif"/>
          <w:b/>
          <w:sz w:val="20"/>
        </w:rPr>
      </w:pPr>
      <w:r>
        <w:rPr>
          <w:rFonts w:ascii="Times New Roman;serif" w:hAnsi="Times New Roman;serif"/>
          <w:b/>
          <w:sz w:val="20"/>
        </w:rPr>
        <w:t>Notes to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March 2, 2023, Mr. Session notified the Board of his resignation from the Board and all committees thereof effective immediately. Mr. Session’s decision to leave the Board was not the result of any disagreement between the Company and Mr. Session on any matter relating to the Company’s operations, policies or practices.</w:t>
      </w:r>
    </w:p>
    <w:p>
      <w:pPr>
        <w:pStyle w:val="TextBody"/>
        <w:spacing w:before="24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F-27</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6" w:name="item_9_changes_in_disagreements_with_acc"/>
      <w:bookmarkEnd w:id="16"/>
      <w:r>
        <w:rPr>
          <w:rFonts w:ascii="Times New Roman;serif" w:hAnsi="Times New Roman;serif"/>
          <w:b/>
          <w:sz w:val="20"/>
        </w:rPr>
        <w:t>Item 9. Changes in and Disagreements With Accountants on Accounting and Financial Disclosure.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 w:hAnsi="Times New Roman"/>
          <w:sz w:val="20"/>
        </w:rPr>
      </w:pPr>
      <w:bookmarkStart w:id="17" w:name="item_9a_controls_procedures"/>
      <w:bookmarkEnd w:id="17"/>
      <w:r>
        <w:rPr>
          <w:rFonts w:ascii="Times New Roman;serif" w:hAnsi="Times New Roman;serif"/>
          <w:b/>
          <w:sz w:val="20"/>
        </w:rPr>
        <w:t>Item 9A. Controls</w:t>
      </w:r>
      <w:r>
        <w:rPr>
          <w:rFonts w:ascii="Times New Roman" w:hAnsi="Times New Roman"/>
          <w:sz w:val="20"/>
        </w:rPr>
        <w:t xml:space="preserve"> </w:t>
      </w:r>
      <w:r>
        <w:rPr>
          <w:rFonts w:ascii="Times New Roman;serif" w:hAnsi="Times New Roman;serif"/>
          <w:b/>
          <w:sz w:val="20"/>
        </w:rPr>
        <w:t>and Procedures.</w:t>
      </w:r>
    </w:p>
    <w:p>
      <w:pPr>
        <w:pStyle w:val="TextBody"/>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spacing w:before="240" w:after="0"/>
        <w:jc w:val="left"/>
        <w:rPr>
          <w:rFonts w:ascii="Times New Roman" w:hAnsi="Times New Roman"/>
          <w:sz w:val="20"/>
        </w:rPr>
      </w:pPr>
      <w:r>
        <w:rPr>
          <w:rFonts w:ascii="Times New Roman;serif" w:hAnsi="Times New Roman;serif"/>
          <w:b w:val="false"/>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Form 10-K. Based on such evaluation, our Chief Executive Officer and Chief Financial Officer have concluded that as of December 31, 2022, our disclosure controls and procedures were effective to provide reasonable assurance that the information required to be disclosed by us in this Form 10-K was (a) reported</w:t>
      </w:r>
      <w:r>
        <w:rPr>
          <w:rFonts w:ascii="Times New Roman" w:hAnsi="Times New Roman"/>
          <w:sz w:val="20"/>
        </w:rPr>
        <w:t xml:space="preserve"> </w:t>
      </w:r>
      <w:r>
        <w:rPr>
          <w:rFonts w:ascii="Times New Roman;serif" w:hAnsi="Times New Roman;serif"/>
          <w:b w:val="false"/>
          <w:sz w:val="20"/>
        </w:rPr>
        <w:t>within the time periods specified by SEC rules and regulations, and (b) communicated to our management, including our Chief Executive Officer and Chief Financial Officer, to allow timely decisions regarding any required disclosure.</w:t>
      </w:r>
    </w:p>
    <w:p>
      <w:pPr>
        <w:pStyle w:val="TextBody"/>
        <w:spacing w:before="360" w:after="0"/>
        <w:jc w:val="left"/>
        <w:rPr>
          <w:rFonts w:ascii="Times New Roman;serif" w:hAnsi="Times New Roman;serif"/>
          <w:b/>
          <w:i/>
          <w:sz w:val="20"/>
        </w:rPr>
      </w:pPr>
      <w:r>
        <w:rPr>
          <w:rFonts w:ascii="Times New Roman;serif" w:hAnsi="Times New Roman;serif"/>
          <w:b/>
          <w:i/>
          <w:sz w:val="20"/>
        </w:rPr>
        <w:t>Management's Report on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2022, our internal control over financial reporting was effective.</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pStyle w:val="TextBody"/>
        <w:spacing w:before="36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identified in management’s evaluation pursuant to Rules 13a-15(d) or 15d-15(d) of the Exchange Act during the quarter ended December 31, 2022 that materially affected, or are reasonably likely to materially affect, our internal control over financial reporting.</w:t>
      </w:r>
    </w:p>
    <w:p>
      <w:pPr>
        <w:pStyle w:val="TextBody"/>
        <w:spacing w:before="360" w:after="0"/>
        <w:jc w:val="left"/>
        <w:rPr>
          <w:rFonts w:ascii="Times New Roman;serif" w:hAnsi="Times New Roman;serif"/>
          <w:b/>
          <w:i/>
          <w:sz w:val="20"/>
        </w:rPr>
      </w:pPr>
      <w:r>
        <w:rPr>
          <w:rFonts w:ascii="Times New Roman;serif" w:hAnsi="Times New Roman;serif"/>
          <w:b/>
          <w:i/>
          <w:sz w:val="20"/>
        </w:rPr>
        <w:t>Inherent Limitations on Effectiveness of Internal Controls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98</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8" w:name="item_9b_or_information"/>
      <w:bookmarkEnd w:id="18"/>
      <w:r>
        <w:rPr>
          <w:rFonts w:ascii="Times New Roman;serif" w:hAnsi="Times New Roman;serif"/>
          <w:b/>
          <w:sz w:val="20"/>
        </w:rPr>
        <w:t>Item 9B. 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9" w:name="item_9c_disclosure_regarding_foreign"/>
      <w:bookmarkEnd w:id="19"/>
      <w:r>
        <w:rPr>
          <w:rFonts w:ascii="Times New Roman;serif" w:hAnsi="Times New Roman;serif"/>
          <w:b/>
          <w:sz w:val="20"/>
        </w:rPr>
        <w:t>Item 9C. Disclosure Regarding Foreign Jurisdictions that Prevent Inspections.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99</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0" w:name="part_iii"/>
      <w:bookmarkEnd w:id="20"/>
      <w:r>
        <w:rPr>
          <w:rFonts w:ascii="Times New Roman;serif" w:hAnsi="Times New Roman;serif"/>
          <w:b/>
          <w:sz w:val="20"/>
        </w:rPr>
        <w:t>PART</w:t>
      </w:r>
      <w:r>
        <w:rPr>
          <w:rFonts w:ascii="Times New Roman" w:hAnsi="Times New Roman"/>
          <w:sz w:val="20"/>
        </w:rPr>
        <w:t xml:space="preserve"> </w:t>
      </w:r>
      <w:r>
        <w:rPr>
          <w:rFonts w:ascii="Times New Roman;serif" w:hAnsi="Times New Roman;serif"/>
          <w:b/>
          <w:sz w:val="20"/>
        </w:rPr>
        <w:t>III</w:t>
      </w:r>
    </w:p>
    <w:p>
      <w:pPr>
        <w:pStyle w:val="TextBody"/>
        <w:spacing w:before="240" w:after="0"/>
        <w:jc w:val="left"/>
        <w:rPr>
          <w:rFonts w:ascii="Times New Roman;serif" w:hAnsi="Times New Roman;serif"/>
          <w:b/>
          <w:sz w:val="20"/>
        </w:rPr>
      </w:pPr>
      <w:bookmarkStart w:id="21" w:name="item_10_directors_executive_ficers_corpo"/>
      <w:bookmarkEnd w:id="21"/>
      <w:r>
        <w:rPr>
          <w:rFonts w:ascii="Times New Roman;serif" w:hAnsi="Times New Roman;serif"/>
          <w:b/>
          <w:sz w:val="20"/>
        </w:rPr>
        <w:t>Item 10. Directors, Executive Officers and Corporate Governance.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required by this item will be contained in our definitive proxy statement to be filed with the SEC in connection with our 2023 annual meeting of stockholders, or the Proxy Statement, which is expected to be filed not later than 120 days after the end of our fiscal year ended December 31, 2022, under the captions “Information Regarding the Board of Directors and Corporate Governance,” “Election of Directors” and “Executive Officers” and is incorporated herein by reference.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adopted the Taysha Code of Business Conduct and Ethics that applies to all officers, directors and employees. The Code of Business Conduct and Ethics is available on our website at www.tayshagtx.com. If we make any substantive amendments to the Code of Business Conduct and Ethics or grants any waiver from a provision of the Code to any executive officer or director, we will promptly disclose the nature of the amendment or waiver on our website.</w:t>
      </w:r>
    </w:p>
    <w:p>
      <w:pPr>
        <w:pStyle w:val="TextBody"/>
        <w:spacing w:before="360" w:after="0"/>
        <w:jc w:val="left"/>
        <w:rPr>
          <w:rFonts w:ascii="Times New Roman;serif" w:hAnsi="Times New Roman;serif"/>
          <w:b/>
          <w:sz w:val="20"/>
        </w:rPr>
      </w:pPr>
      <w:bookmarkStart w:id="22" w:name="item_11_executive_compensation"/>
      <w:bookmarkEnd w:id="22"/>
      <w:r>
        <w:rPr>
          <w:rFonts w:ascii="Times New Roman;serif" w:hAnsi="Times New Roman;serif"/>
          <w:b/>
          <w:sz w:val="20"/>
        </w:rPr>
        <w:t>Item 11. Executive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required by this item will be set forth in the Proxy Statement under the captions “Executive Compensation” and “Director Compensation” and is incorporated herein by reference.</w:t>
      </w:r>
    </w:p>
    <w:p>
      <w:pPr>
        <w:pStyle w:val="TextBody"/>
        <w:spacing w:before="360" w:after="0"/>
        <w:jc w:val="both"/>
        <w:rPr>
          <w:rFonts w:ascii="Times New Roman;serif" w:hAnsi="Times New Roman;serif"/>
          <w:b/>
          <w:sz w:val="20"/>
        </w:rPr>
      </w:pPr>
      <w:bookmarkStart w:id="23" w:name="item_12_security_ownership_certain_benef"/>
      <w:bookmarkEnd w:id="23"/>
      <w:r>
        <w:rPr>
          <w:rFonts w:ascii="Times New Roman;serif" w:hAnsi="Times New Roman;serif"/>
          <w:b/>
          <w:sz w:val="20"/>
        </w:rPr>
        <w:t>Item 12. Security Ownership of Certain Beneficial Owners and Management and Related Stockholder Matters.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pStyle w:val="TextBody"/>
        <w:spacing w:before="360" w:after="0"/>
        <w:jc w:val="left"/>
        <w:rPr>
          <w:rFonts w:ascii="Times New Roman" w:hAnsi="Times New Roman"/>
          <w:sz w:val="20"/>
        </w:rPr>
      </w:pPr>
      <w:bookmarkStart w:id="24" w:name="item_13_certain_relationships_related_tr"/>
      <w:bookmarkEnd w:id="24"/>
      <w:r>
        <w:rPr>
          <w:rFonts w:ascii="Times New Roman;serif" w:hAnsi="Times New Roman;serif"/>
          <w:b/>
          <w:sz w:val="20"/>
        </w:rPr>
        <w:t>Item 13. Certain Relationships and Related</w:t>
      </w:r>
      <w:r>
        <w:rPr>
          <w:rFonts w:ascii="Times New Roman" w:hAnsi="Times New Roman"/>
          <w:sz w:val="20"/>
        </w:rPr>
        <w:t xml:space="preserve"> </w:t>
      </w:r>
      <w:r>
        <w:rPr>
          <w:rFonts w:ascii="Times New Roman;serif" w:hAnsi="Times New Roman;serif"/>
          <w:b/>
          <w:sz w:val="20"/>
        </w:rPr>
        <w:t>Transactions, and Director Independence.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required by this item will be set forth in the Proxy Statement under the captions “Transactions with Related Persons and Indemnification” and “Independence of the Board of Directors” and is incorporated herein by reference.</w:t>
      </w:r>
    </w:p>
    <w:p>
      <w:pPr>
        <w:pStyle w:val="TextBody"/>
        <w:spacing w:before="360" w:after="0"/>
        <w:jc w:val="left"/>
        <w:rPr>
          <w:rFonts w:ascii="Times New Roman;serif" w:hAnsi="Times New Roman;serif"/>
          <w:b/>
          <w:sz w:val="20"/>
        </w:rPr>
      </w:pPr>
      <w:bookmarkStart w:id="25" w:name="item_14_principal_accountant_fees_servic"/>
      <w:bookmarkEnd w:id="25"/>
      <w:r>
        <w:rPr>
          <w:rFonts w:ascii="Times New Roman;serif" w:hAnsi="Times New Roman;serif"/>
          <w:b/>
          <w:sz w:val="20"/>
        </w:rPr>
        <w:t>Item 14. Principal Accountant Fees and Services.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required by this item will be set forth in the Proxy Statement under the caption “Ratification of Selection of Independent Registered Public Accounting Firm” and is incorporated herein by reference.</w:t>
      </w:r>
    </w:p>
    <w:p>
      <w:pPr>
        <w:pStyle w:val="TextBody"/>
        <w:spacing w:before="12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100</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6" w:name="part_iv"/>
      <w:bookmarkEnd w:id="26"/>
      <w:r>
        <w:rPr>
          <w:rFonts w:ascii="Times New Roman;serif" w:hAnsi="Times New Roman;serif"/>
          <w:b/>
          <w:sz w:val="20"/>
        </w:rPr>
        <w:t>PART</w:t>
      </w:r>
      <w:r>
        <w:rPr>
          <w:rFonts w:ascii="Times New Roman" w:hAnsi="Times New Roman"/>
          <w:sz w:val="20"/>
        </w:rPr>
        <w:t xml:space="preserve"> </w:t>
      </w:r>
      <w:r>
        <w:rPr>
          <w:rFonts w:ascii="Times New Roman;serif" w:hAnsi="Times New Roman;serif"/>
          <w:b/>
          <w:sz w:val="20"/>
        </w:rPr>
        <w:t>IV</w:t>
      </w:r>
    </w:p>
    <w:p>
      <w:pPr>
        <w:pStyle w:val="TextBody"/>
        <w:spacing w:before="240" w:after="0"/>
        <w:jc w:val="left"/>
        <w:rPr>
          <w:rFonts w:ascii="Times New Roman;serif" w:hAnsi="Times New Roman;serif"/>
          <w:b/>
          <w:sz w:val="20"/>
        </w:rPr>
      </w:pPr>
      <w:bookmarkStart w:id="27" w:name="item_15_exhibits_financial_statement_sch"/>
      <w:bookmarkEnd w:id="27"/>
      <w:r>
        <w:rPr>
          <w:rFonts w:ascii="Times New Roman;serif" w:hAnsi="Times New Roman;serif"/>
          <w:b/>
          <w:sz w:val="20"/>
        </w:rPr>
        <w:t>Item 15. Exhibits and Financial Statement Schedules.</w:t>
      </w:r>
    </w:p>
    <w:p>
      <w:pPr>
        <w:pStyle w:val="TextBody"/>
        <w:spacing w:before="120" w:after="0"/>
        <w:jc w:val="left"/>
        <w:rPr>
          <w:rFonts w:ascii="Times New Roman;serif" w:hAnsi="Times New Roman;serif"/>
          <w:b/>
          <w:sz w:val="20"/>
        </w:rPr>
      </w:pPr>
      <w:r>
        <w:rPr>
          <w:rFonts w:ascii="Times New Roman;serif" w:hAnsi="Times New Roman;serif"/>
          <w:b/>
          <w:sz w:val="20"/>
        </w:rPr>
        <w:t>Financial Statements</w:t>
      </w:r>
    </w:p>
    <w:p>
      <w:pPr>
        <w:pStyle w:val="TextBody"/>
        <w:spacing w:before="0" w:after="200"/>
        <w:jc w:val="left"/>
        <w:rPr>
          <w:rFonts w:ascii="Times New Roman;serif" w:hAnsi="Times New Roman;serif"/>
          <w:b w:val="false"/>
          <w:sz w:val="20"/>
        </w:rPr>
      </w:pPr>
      <w:r>
        <w:rPr>
          <w:rFonts w:ascii="Times New Roman;serif" w:hAnsi="Times New Roman;serif"/>
          <w:b w:val="false"/>
          <w:sz w:val="20"/>
        </w:rPr>
        <w:t>The following report and financial statements of the Company are included in this Annual Report on Form 10-K: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Report of Independent Registered Public Accounting Firm (PCAOB ID No. 34)</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Consolidated Balance Sheets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Consolidated Statements of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Consolidated Statements of Stockholders’ Equity (Deficit)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Consolidated Statements of Cash Flows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Notes to Consolidated Financial Statements </w:t>
      </w:r>
    </w:p>
    <w:p>
      <w:pPr>
        <w:pStyle w:val="TextBody"/>
        <w:spacing w:before="360" w:after="0"/>
        <w:jc w:val="left"/>
        <w:rPr>
          <w:rFonts w:ascii="Times New Roman;serif" w:hAnsi="Times New Roman;serif"/>
          <w:b/>
          <w:sz w:val="20"/>
        </w:rPr>
      </w:pPr>
      <w:r>
        <w:rPr>
          <w:rFonts w:ascii="Times New Roman;serif" w:hAnsi="Times New Roman;serif"/>
          <w:b/>
          <w:sz w:val="20"/>
        </w:rPr>
        <w:t>Financial Statements Schedules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financial statement schedules have been omitted as they are not required, they are not applicable, or the required information is included in the financial statements or notes to the financial statements.</w:t>
      </w:r>
    </w:p>
    <w:p>
      <w:pPr>
        <w:pStyle w:val="TextBody"/>
        <w:spacing w:before="360" w:after="0"/>
        <w:jc w:val="left"/>
        <w:rPr>
          <w:rFonts w:ascii="Times New Roman;serif" w:hAnsi="Times New Roman;serif"/>
          <w:b/>
          <w:sz w:val="20"/>
        </w:rPr>
      </w:pPr>
      <w:r>
        <w:rPr>
          <w:rFonts w:ascii="Times New Roman;serif" w:hAnsi="Times New Roman;serif"/>
          <w:b/>
          <w:sz w:val="20"/>
        </w:rPr>
        <w:t>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12"/>
        <w:gridCol w:w="146"/>
        <w:gridCol w:w="9347"/>
      </w:tblGrid>
      <w:tr>
        <w:trPr/>
        <w:tc>
          <w:tcPr>
            <w:tcW w:w="7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47" w:type="dxa"/>
            <w:tcBorders/>
            <w:shd w:fill="auto" w:val="clear"/>
            <w:vAlign w:val="center"/>
          </w:tcPr>
          <w:p>
            <w:pPr>
              <w:pStyle w:val="TableContents"/>
              <w:spacing w:before="0" w:after="283"/>
              <w:rPr>
                <w:sz w:val="4"/>
                <w:szCs w:val="4"/>
              </w:rPr>
            </w:pPr>
            <w:r>
              <w:rPr>
                <w:sz w:val="4"/>
                <w:szCs w:val="4"/>
              </w:rPr>
            </w:r>
          </w:p>
        </w:tc>
      </w:tr>
      <w:tr>
        <w:trPr/>
        <w:tc>
          <w:tcPr>
            <w:tcW w:w="71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7"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2">
              <w:r>
                <w:rPr>
                  <w:rStyle w:val="InternetLink"/>
                  <w:rFonts w:ascii="Times New Roman;serif" w:hAnsi="Times New Roman;serif"/>
                  <w:b w:val="false"/>
                  <w:sz w:val="20"/>
                  <w:u w:val="single"/>
                </w:rPr>
                <w:t>Amended and Restated Certificate of Incorporation (incorporated by reference to Exhibit 3.1 to the Company’s Current Report on Form 8-K (File No. 001-39536), filed with the Securities and Exchange Commission on September 29, 2020).</w:t>
              </w:r>
            </w:hyperlink>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3">
              <w:r>
                <w:rPr>
                  <w:rStyle w:val="InternetLink"/>
                  <w:rFonts w:ascii="Times New Roman;serif" w:hAnsi="Times New Roman;serif"/>
                  <w:b w:val="false"/>
                  <w:sz w:val="20"/>
                  <w:u w:val="single"/>
                </w:rPr>
                <w:t>Amended and Restated Bylaws (incorporated by reference to Exhibit 3.4 to the Company’s to the Company’s Registration Statement on Form S-1 (File No. 333-248559), filed with the Securities and Exchange Commission on September 17, 2020).</w:t>
              </w:r>
            </w:hyperlink>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4">
              <w:r>
                <w:rPr>
                  <w:rStyle w:val="InternetLink"/>
                  <w:rFonts w:ascii="Times New Roman;serif" w:hAnsi="Times New Roman;serif"/>
                  <w:b w:val="false"/>
                  <w:sz w:val="20"/>
                  <w:u w:val="single"/>
                </w:rPr>
                <w:t>Amended and Restated Investors’ Rights Agreement, by and among the Company and certain of its stockholders, dated July 2, 2020 (incorporated by reference to Exhibit 4.1 to the Company’s Registration Statement on Form S-1 (File No. 333-248559), filed with the Securities and Exchange Commission on September 2, 2020)</w:t>
              </w:r>
            </w:hyperlink>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5">
              <w:r>
                <w:rPr>
                  <w:rStyle w:val="InternetLink"/>
                  <w:rFonts w:ascii="Times New Roman;serif" w:hAnsi="Times New Roman;serif"/>
                  <w:b w:val="false"/>
                  <w:sz w:val="20"/>
                  <w:u w:val="single"/>
                </w:rPr>
                <w:t>Description of the Company’s Common Stock (incorporated by reference to Exhibit 4.2 to the Company’s Annual Report on Form 10-K (File No. 001-39536), filed with the Securities Exchange Commission on March 3, 2021.</w:t>
              </w:r>
            </w:hyperlink>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10.1</w:t>
            </w:r>
            <w:r>
              <w:rPr>
                <w:rFonts w:ascii="Arial;sans-serif" w:hAnsi="Arial;sans-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6">
              <w:r>
                <w:rPr>
                  <w:rStyle w:val="InternetLink"/>
                  <w:rFonts w:ascii="Times New Roman;serif" w:hAnsi="Times New Roman;serif"/>
                  <w:b w:val="false"/>
                  <w:sz w:val="20"/>
                  <w:u w:val="single"/>
                </w:rPr>
                <w:t>Research, Collaboration &amp; License Agreement, by and between the Company and The Board of Regents of the University of Texas System on behalf of The University of Texas Southwestern Medical Center, dated as of November 19, 2019 (incorporated by reference to Exhibit 10.1 to the Company’s Registration Statement on Form S-1 (File No. 333-248559), filed with the Securities and Exchange Commission on September 2, 2020).</w:t>
              </w:r>
            </w:hyperlink>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10.2</w:t>
            </w:r>
            <w:r>
              <w:rPr>
                <w:rFonts w:ascii="Arial;sans-serif" w:hAnsi="Arial;sans-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7">
              <w:r>
                <w:rPr>
                  <w:rStyle w:val="InternetLink"/>
                  <w:rFonts w:ascii="Times New Roman;serif" w:hAnsi="Times New Roman;serif"/>
                  <w:b w:val="false"/>
                  <w:sz w:val="20"/>
                  <w:u w:val="single"/>
                </w:rPr>
                <w:t>Amendment to Research, Collaboration &amp; License Agreement, by and between the Registrant and The Board of Regents of the University of Texas System on behalf of The University of Texas Southwestern Medical Center, dated as of April 2, 2020 (incorporated by reference to Exhibit 10.2 to the Company’s Registration Statement on Form S-1 (File No. 333-248559), filed with the Securities and Exchange Commission on September 2, 2020).</w:t>
              </w:r>
            </w:hyperlink>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10.3</w:t>
            </w:r>
            <w:r>
              <w:rPr>
                <w:rFonts w:ascii="Arial;sans-serif" w:hAnsi="Arial;sans-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8">
              <w:r>
                <w:rPr>
                  <w:rStyle w:val="InternetLink"/>
                  <w:rFonts w:ascii="Times New Roman;serif" w:hAnsi="Times New Roman;serif"/>
                  <w:b w:val="false"/>
                  <w:sz w:val="20"/>
                  <w:u w:val="single"/>
                </w:rPr>
                <w:t>License Agreement, by and between the Company and Queen’s University at Kingston, dated as of February 21, 2020 (incorporated by reference to Exhibit 10.3 to the Company’s Registration Statement on Form S-1 (File No. 333-248559), filed with the Securities and Exchange Commission on September 2, 2020).</w:t>
              </w:r>
            </w:hyperlink>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10.4</w:t>
            </w:r>
            <w:r>
              <w:rPr>
                <w:rFonts w:ascii="Arial;sans-serif" w:hAnsi="Arial;sans-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9">
              <w:r>
                <w:rPr>
                  <w:rStyle w:val="InternetLink"/>
                  <w:rFonts w:ascii="Times New Roman;serif" w:hAnsi="Times New Roman;serif"/>
                  <w:b w:val="false"/>
                  <w:sz w:val="20"/>
                  <w:u w:val="single"/>
                </w:rPr>
                <w:t>License Agreement, by and between the Company and Abeona Therapeutics Inc., dated as of August 14, 2020 (incorporated by reference to Exhibit 10.4 to the Company’s Registration Statement on Form S-1 (File No. 333-248559), filed with the Securities and Exchange Commission on September 2, 2020).</w:t>
              </w:r>
            </w:hyperlink>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10.5</w:t>
            </w:r>
            <w:r>
              <w:rPr>
                <w:rFonts w:ascii="Arial;sans-serif" w:hAnsi="Arial;sans-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0">
              <w:r>
                <w:rPr>
                  <w:rStyle w:val="InternetLink"/>
                  <w:rFonts w:ascii="Times New Roman;serif" w:hAnsi="Times New Roman;serif"/>
                  <w:b w:val="false"/>
                  <w:sz w:val="20"/>
                  <w:u w:val="single"/>
                </w:rPr>
                <w:t>License Agreement, by and between the Company and Abeona Therapeutics Inc., dated as of October 29, 2020 (incorporated by reference to Exhibit 10.5 to the Company’s Annual Report on Form 10-K (File No. 001-39536), filed with the Securities and Exchange Commission on March 2, 2021.</w:t>
              </w:r>
            </w:hyperlink>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1">
              <w:r>
                <w:rPr>
                  <w:rStyle w:val="InternetLink"/>
                  <w:rFonts w:ascii="Times New Roman;serif" w:hAnsi="Times New Roman;serif"/>
                  <w:b w:val="false"/>
                  <w:sz w:val="20"/>
                  <w:u w:val="single"/>
                </w:rPr>
                <w:t>2020 Equity Incentive Plan and Forms of Stock Option Grant Notice, Stock Option Agreement and Restricted Stock Award Grant Notice (incorporated by reference to Exhibit 10.5 to the Company’s Registration Statement on Form S-1 (File No. 333-248559), filed with the Securities and Exchange Commission on September 17, 2020).</w:t>
              </w:r>
            </w:hyperlink>
          </w:p>
        </w:tc>
      </w:tr>
      <w:tr>
        <w:trPr/>
        <w:tc>
          <w:tcPr>
            <w:tcW w:w="712"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2">
              <w:r>
                <w:rPr>
                  <w:rStyle w:val="InternetLink"/>
                  <w:rFonts w:ascii="Times New Roman;serif" w:hAnsi="Times New Roman;serif"/>
                  <w:b w:val="false"/>
                  <w:sz w:val="20"/>
                  <w:u w:val="single"/>
                </w:rPr>
                <w:t>2020 Stock Incentive Plan and Forms of Stock Option Grant Notice, Stock Option Agreement, Restricted Stock Unit Grant Notice and Restricted Stock Unit Award Agreement (incorporated by reference to Exhibit 10.6 to the Company’s</w:t>
              </w:r>
            </w:hyperlink>
            <w:hyperlink r:id="rId33">
              <w:r>
                <w:rPr>
                  <w:rStyle w:val="InternetLink"/>
                  <w:rFonts w:ascii="Times New Roman" w:hAnsi="Times New Roman"/>
                  <w:sz w:val="20"/>
                </w:rPr>
                <w:t xml:space="preserve"> </w:t>
              </w:r>
            </w:hyperlink>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101</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41"/>
        <w:gridCol w:w="146"/>
        <w:gridCol w:w="9418"/>
      </w:tblGrid>
      <w:tr>
        <w:trPr/>
        <w:tc>
          <w:tcPr>
            <w:tcW w:w="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18" w:type="dxa"/>
            <w:tcBorders/>
            <w:shd w:fill="auto" w:val="clear"/>
            <w:vAlign w:val="center"/>
          </w:tcPr>
          <w:p>
            <w:pPr>
              <w:pStyle w:val="TableContents"/>
              <w:spacing w:before="0" w:after="283"/>
              <w:rPr>
                <w:sz w:val="4"/>
                <w:szCs w:val="4"/>
              </w:rPr>
            </w:pPr>
            <w:r>
              <w:rPr>
                <w:sz w:val="4"/>
                <w:szCs w:val="4"/>
              </w:rPr>
            </w:r>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4">
              <w:r>
                <w:rPr>
                  <w:rStyle w:val="InternetLink"/>
                  <w:rFonts w:ascii="Times New Roman;serif" w:hAnsi="Times New Roman;serif"/>
                  <w:b w:val="false"/>
                  <w:sz w:val="20"/>
                  <w:u w:val="single"/>
                </w:rPr>
                <w:t>Registration Statement on Form S-1 (File No. 333-248559), filed with the Securities and Exchange Commission on September 17, 2020).</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5">
              <w:r>
                <w:rPr>
                  <w:rStyle w:val="InternetLink"/>
                  <w:rFonts w:ascii="Times New Roman;serif" w:hAnsi="Times New Roman;serif"/>
                  <w:b w:val="false"/>
                  <w:sz w:val="20"/>
                  <w:u w:val="single"/>
                </w:rPr>
                <w:t>2020 Employee Stock Purchase Plan (incorporated by reference to Exhibit 10.7 to the Company’s Registration Statement on Form S-1 (File No. 333-248559), filed with the Securities and Exchange Commission on September 17, 2020).</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6">
              <w:r>
                <w:rPr>
                  <w:rStyle w:val="InternetLink"/>
                  <w:rFonts w:ascii="Times New Roman;serif" w:hAnsi="Times New Roman;serif"/>
                  <w:b w:val="false"/>
                  <w:sz w:val="20"/>
                  <w:u w:val="single"/>
                </w:rPr>
                <w:t>Form of Indemnification Agreement with Executive Officers and Directors ((incorporated by reference to Exhibit 10.8 to the Company’s Registration Statement on Form S-1 (File No. 333-248559), filed with the Securities and Exchange Commission on September 17, 2020).</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7">
              <w:r>
                <w:rPr>
                  <w:rStyle w:val="InternetLink"/>
                  <w:rFonts w:ascii="Times New Roman;serif" w:hAnsi="Times New Roman;serif"/>
                  <w:b w:val="false"/>
                  <w:sz w:val="20"/>
                  <w:u w:val="single"/>
                </w:rPr>
                <w:t>Non-Employee Director Compensation Policy (incorporated by reference to Exhibit 10.10 to the Company’s Registration Statement on Form S-1 (File No. 333-248559), filed with the Securities and Exchange Commission on September 17, 2020).</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8">
              <w:r>
                <w:rPr>
                  <w:rStyle w:val="InternetLink"/>
                  <w:rFonts w:ascii="Times New Roman;serif" w:hAnsi="Times New Roman;serif"/>
                  <w:b w:val="false"/>
                  <w:sz w:val="20"/>
                  <w:u w:val="single"/>
                </w:rPr>
                <w:t>Change in Control Severance Plan and Form of Participation Agreement (incorporated by reference to Exhibit 10.11 to the Company’s Registration Statement on Form S-1 (File No. 333-248559), filed with the Securities and Exchange Commission on September 17, 2020).</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9">
              <w:r>
                <w:rPr>
                  <w:rStyle w:val="InternetLink"/>
                  <w:rFonts w:ascii="Times New Roman;serif" w:hAnsi="Times New Roman;serif"/>
                  <w:b w:val="false"/>
                  <w:sz w:val="20"/>
                  <w:u w:val="single"/>
                </w:rPr>
                <w:t>Amended and Restated Executive Employment Agreement, effective as of September 24, 2020, by and between the Company and RA Session II (incorporated by reference to Exhibit 10.7 to the Company’s Quarterly Report on Form 10-Q (File No. 001-39536), filed with the Securities and Exchange Commission on November 12, 2020).</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0">
              <w:r>
                <w:rPr>
                  <w:rStyle w:val="InternetLink"/>
                  <w:rFonts w:ascii="Times New Roman;serif" w:hAnsi="Times New Roman;serif"/>
                  <w:b w:val="false"/>
                  <w:sz w:val="20"/>
                  <w:u w:val="single"/>
                </w:rPr>
                <w:t>Amended and Restated Offer Letter, effective as of September 24, 2020, by and between the Company and Kamran Alam (incorporated by reference to Exhibit 10.13 to the Company’s Annual Report on Form 10-K (File No. 001-39536), filed with the Securities and Exchange Commission on March 3, 2021).</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1">
              <w:r>
                <w:rPr>
                  <w:rStyle w:val="InternetLink"/>
                  <w:rFonts w:ascii="Times New Roman;serif" w:hAnsi="Times New Roman;serif"/>
                  <w:b w:val="false"/>
                  <w:sz w:val="20"/>
                  <w:u w:val="single"/>
                </w:rPr>
                <w:t>Amended and Restated Offer Letter, effective as of September 24, 2020, by and between the Company and Suyash Prasad (incorporated by reference to Exhibit 10.14 to the Company’s Annual Report on Form 10-K (File No. 001-39536), filed with the Securities and Exchange Commission on March 3, 2021).</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2">
              <w:r>
                <w:rPr>
                  <w:rStyle w:val="InternetLink"/>
                  <w:rFonts w:ascii="Times New Roman;serif" w:hAnsi="Times New Roman;serif"/>
                  <w:b w:val="false"/>
                  <w:sz w:val="20"/>
                  <w:u w:val="single"/>
                </w:rPr>
                <w:t>Lease, dated December 17, 2020, by and between Patriot Park Partners II, LLC and the Company (incorporated by reference to Exhibit 10.15 to the Company’s Annual Report on Form 10-K (File No. 001-39536), filed with the Securities and Exchange Commission on March 3, 2021).</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3">
              <w:r>
                <w:rPr>
                  <w:rStyle w:val="InternetLink"/>
                  <w:rFonts w:ascii="Times New Roman;serif" w:hAnsi="Times New Roman;serif"/>
                  <w:b w:val="false"/>
                  <w:sz w:val="20"/>
                  <w:u w:val="single"/>
                </w:rPr>
                <w:t>Loan and Security Agreement, dated August 12, 2021, by and among the Company, the lenders party thereto from time to time and Silicon Valley Bank, as administrative agent and collateral agent (incorporated by reference to Exhibit 10.2 to the Company’s Quarterly Report on Form 10-Q (File No. 001-39536), filed with the Securities and Exchange Commission on August 16, 2021).</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4">
              <w:r>
                <w:rPr>
                  <w:rStyle w:val="InternetLink"/>
                  <w:rFonts w:ascii="Times New Roman;serif" w:hAnsi="Times New Roman;serif"/>
                  <w:b w:val="false"/>
                  <w:sz w:val="20"/>
                  <w:u w:val="single"/>
                </w:rPr>
                <w:t>Lease Agreement, dated January 8, 2021, by and between Pegasus Park, LLC and the Company (incorporated by reference to Exhibit 10.1 to the Company’s Quarterly Report on Form 10-Q (File No. 001-39536), filed with the Securities and Exchange Commission on August 16, 2021).</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5">
              <w:r>
                <w:rPr>
                  <w:rStyle w:val="InternetLink"/>
                  <w:rFonts w:ascii="Times New Roman;serif" w:hAnsi="Times New Roman;serif"/>
                  <w:b w:val="false"/>
                  <w:sz w:val="20"/>
                  <w:u w:val="single"/>
                </w:rPr>
                <w:t>First Amendment to Lease Agreement, dated December 14, 2021, by and between Pegasus Park, LLC and the Company (incorporated by reference to Exhibit 10.18 to the Company's Annual Report on Form 10-K (File No. 001-39536), filed with the Securities and Exchange Commission on March 31, 2022).</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6">
              <w:r>
                <w:rPr>
                  <w:rStyle w:val="InternetLink"/>
                  <w:rFonts w:ascii="Times New Roman;serif" w:hAnsi="Times New Roman;serif"/>
                  <w:b w:val="false"/>
                  <w:sz w:val="20"/>
                  <w:u w:val="single"/>
                </w:rPr>
                <w:t>Amendment No. 1 to Sales Agreement, dated March 30, 2022, by and among the Company, Goldman Sachs &amp; Co. LLC, SVB Securities LLC and Wells Fargo Securities, LLC (incorporated by reference to Exhibit 10.19 to the Company's Annual Report on Form 10-K (File No. 001-39536), filed with the Securities and Exchange Commission on March 31, 2022).</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7">
              <w:r>
                <w:rPr>
                  <w:rStyle w:val="InternetLink"/>
                  <w:rFonts w:ascii="Times New Roman;serif" w:hAnsi="Times New Roman;serif"/>
                  <w:b w:val="false"/>
                  <w:sz w:val="20"/>
                  <w:u w:val="single"/>
                </w:rPr>
                <w:t>Option Agreement, by and between the Company and Astellas, dated October 21, 2022 (incorporated by reference to Exhibit 10.1 to the Company’s Current Report on Form 8-K (File No. 001-39536), filed with the Securities and Exchange Commission on October 31, 2022).</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8">
              <w:r>
                <w:rPr>
                  <w:rStyle w:val="InternetLink"/>
                  <w:rFonts w:ascii="Times New Roman;serif" w:hAnsi="Times New Roman;serif"/>
                  <w:b w:val="false"/>
                  <w:sz w:val="20"/>
                  <w:u w:val="single"/>
                </w:rPr>
                <w:t>Securities Purchase Agreement, by and between the Company and Astellas, dated October 21, 2022 (incorporated by reference to Exhibit 10.2 to the Company’s Current Report on Form 8-K (File No. 001-39536), filed with the Securities and Exchange Commission on October 31,2022).</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9">
              <w:r>
                <w:rPr>
                  <w:rStyle w:val="InternetLink"/>
                  <w:rFonts w:ascii="Times New Roman;serif" w:hAnsi="Times New Roman;serif"/>
                  <w:b w:val="false"/>
                  <w:sz w:val="20"/>
                  <w:u w:val="single"/>
                </w:rPr>
                <w:t>Registration Rights Agreement, by and between the Company and Astellas, dated October 21, 2022 (incorporated by reference to Exhibit 10.3 to the Company’s Current Report on Form 8-K (File No. 001-39536), filed with the Securities and Exchange Commission on October 31,2022).</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sha-ex10_23.htm">
              <w:r>
                <w:rPr>
                  <w:rStyle w:val="InternetLink"/>
                  <w:rFonts w:ascii="Times New Roman;serif" w:hAnsi="Times New Roman;serif"/>
                  <w:b w:val="false"/>
                  <w:sz w:val="20"/>
                  <w:u w:val="single"/>
                </w:rPr>
                <w:t>Executive Employment Agreement, effective as of December 30, 2022, by and between the Company and Sean Nolan.</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sha-ex10_24.htm">
              <w:r>
                <w:rPr>
                  <w:rStyle w:val="InternetLink"/>
                  <w:rFonts w:ascii="Times New Roman;serif" w:hAnsi="Times New Roman;serif"/>
                  <w:b w:val="false"/>
                  <w:sz w:val="20"/>
                  <w:u w:val="single"/>
                </w:rPr>
                <w:t>Executive Employment Agreement, effective as of December 30, 2022, by and between the Company and Sukumar Nagendran.</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sha-ex10_25.htm">
              <w:r>
                <w:rPr>
                  <w:rStyle w:val="InternetLink"/>
                  <w:rFonts w:ascii="Times New Roman;serif" w:hAnsi="Times New Roman;serif"/>
                  <w:b w:val="false"/>
                  <w:sz w:val="20"/>
                  <w:u w:val="single"/>
                </w:rPr>
                <w:t>Executive Separation Agreement, effective as of March 7, 2022, by and between the Company and RA Session II.</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sha-ex23_1.htm">
              <w:r>
                <w:rPr>
                  <w:rStyle w:val="InternetLink"/>
                  <w:rFonts w:ascii="Times New Roman;serif" w:hAnsi="Times New Roman;serif"/>
                  <w:b w:val="false"/>
                  <w:sz w:val="20"/>
                  <w:u w:val="single"/>
                </w:rPr>
                <w:t>Consent of Deloitte &amp; Touche LLP</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24.1*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ower_attomny">
              <w:r>
                <w:rPr>
                  <w:rStyle w:val="InternetLink"/>
                  <w:rFonts w:ascii="Times New Roman;serif" w:hAnsi="Times New Roman;serif"/>
                  <w:b w:val="false"/>
                  <w:sz w:val="20"/>
                  <w:u w:val="single"/>
                </w:rPr>
                <w:t>Power of Attorney (included on signature page)</w:t>
              </w:r>
            </w:hyperlink>
          </w:p>
        </w:tc>
      </w:tr>
      <w:tr>
        <w:trPr/>
        <w:tc>
          <w:tcPr>
            <w:tcW w:w="6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1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sha-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102</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01"/>
        <w:gridCol w:w="146"/>
        <w:gridCol w:w="9358"/>
      </w:tblGrid>
      <w:tr>
        <w:trPr/>
        <w:tc>
          <w:tcPr>
            <w:tcW w:w="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58" w:type="dxa"/>
            <w:tcBorders/>
            <w:shd w:fill="auto" w:val="clear"/>
            <w:vAlign w:val="center"/>
          </w:tcPr>
          <w:p>
            <w:pPr>
              <w:pStyle w:val="TableContents"/>
              <w:spacing w:before="0" w:after="283"/>
              <w:rPr>
                <w:sz w:val="4"/>
                <w:szCs w:val="4"/>
              </w:rPr>
            </w:pPr>
            <w:r>
              <w:rPr>
                <w:sz w:val="4"/>
                <w:szCs w:val="4"/>
              </w:rPr>
            </w:r>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sha-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sha-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sha-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Inline XBRL document)</w:t>
            </w:r>
          </w:p>
        </w:tc>
      </w:tr>
      <w:tr>
        <w:trPr/>
        <w:tc>
          <w:tcPr>
            <w:tcW w:w="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5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Portions of this agreement (indicated by asterisks) have been omitted because the registrant has determined they are not material and would likely cause competitive harm to the registrant if publicly disclosed.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Certain schedules to this agreement have been omitted in accordance with Item 601(b)(2) of Regulation S-K. A copy of any omitted schedules will be furnished supplementally to the SEC upon request.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Indicates management contract or compensatory plan.</w:t>
      </w:r>
    </w:p>
    <w:p>
      <w:pPr>
        <w:pStyle w:val="TextBody"/>
        <w:spacing w:before="120" w:after="0"/>
        <w:jc w:val="left"/>
        <w:rPr>
          <w:rFonts w:ascii="Times New Roman" w:hAnsi="Times New Roman"/>
          <w:sz w:val="20"/>
        </w:rPr>
      </w:pPr>
      <w:r>
        <w:rPr>
          <w:rFonts w:ascii="Times New Roman;serif" w:hAnsi="Times New Roman;serif"/>
          <w:b w:val="false"/>
          <w:sz w:val="20"/>
        </w:rPr>
        <w:t>## 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r>
        <w:rPr>
          <w:rFonts w:ascii="Times New Roman" w:hAnsi="Times New Roman"/>
          <w:sz w:val="20"/>
        </w:rPr>
        <w:t xml:space="preserve"> </w:t>
      </w:r>
    </w:p>
    <w:p>
      <w:pPr>
        <w:pStyle w:val="TextBody"/>
        <w:spacing w:before="360" w:after="0"/>
        <w:jc w:val="left"/>
        <w:rPr>
          <w:rFonts w:ascii="Times New Roman" w:hAnsi="Times New Roman"/>
          <w:sz w:val="20"/>
        </w:rPr>
      </w:pPr>
      <w:bookmarkStart w:id="28" w:name="item_16_form_10k_summary"/>
      <w:bookmarkEnd w:id="28"/>
      <w:r>
        <w:rPr>
          <w:rFonts w:ascii="Times New Roman;serif" w:hAnsi="Times New Roman;serif"/>
          <w:b/>
          <w:sz w:val="20"/>
        </w:rPr>
        <w:t>Item 16. Form</w:t>
      </w:r>
      <w:r>
        <w:rPr>
          <w:rFonts w:ascii="Times New Roman" w:hAnsi="Times New Roman"/>
          <w:sz w:val="20"/>
        </w:rPr>
        <w:t xml:space="preserve"> </w:t>
      </w:r>
      <w:r>
        <w:rPr>
          <w:rFonts w:ascii="Times New Roman;serif" w:hAnsi="Times New Roman;serif"/>
          <w:b/>
          <w:sz w:val="20"/>
        </w:rPr>
        <w:t>10-K Summary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9" w:name="signatures"/>
      <w:bookmarkStart w:id="30" w:name="section64"/>
      <w:bookmarkEnd w:id="29"/>
      <w:bookmarkEnd w:id="30"/>
      <w:r>
        <w:rPr>
          <w:rFonts w:ascii="Times New Roman;serif" w:hAnsi="Times New Roman;serif"/>
          <w:b/>
          <w:sz w:val="20"/>
        </w:rPr>
        <w:t>SIGNA</w:t>
      </w:r>
      <w:bookmarkStart w:id="31" w:name="signatures_1"/>
      <w:bookmarkEnd w:id="31"/>
      <w:r>
        <w:rPr>
          <w:rFonts w:ascii="Times New Roman;serif" w:hAnsi="Times New Roman;serif"/>
          <w:b/>
          <w:sz w:val="20"/>
        </w:rPr>
        <w:t>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4935" w:type="dxa"/>
        <w:jc w:val="left"/>
        <w:tblInd w:w="0" w:type="dxa"/>
        <w:tblCellMar>
          <w:top w:w="28" w:type="dxa"/>
          <w:left w:w="28" w:type="dxa"/>
          <w:bottom w:w="28" w:type="dxa"/>
          <w:right w:w="28" w:type="dxa"/>
        </w:tblCellMar>
      </w:tblPr>
      <w:tblGrid>
        <w:gridCol w:w="1741"/>
        <w:gridCol w:w="494"/>
        <w:gridCol w:w="177"/>
        <w:gridCol w:w="2523"/>
      </w:tblGrid>
      <w:tr>
        <w:trPr/>
        <w:tc>
          <w:tcPr>
            <w:tcW w:w="174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523"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pPr>
            <w:r>
              <w:rPr/>
              <w:t> </w:t>
            </w:r>
          </w:p>
        </w:tc>
        <w:tc>
          <w:tcPr>
            <w:tcW w:w="3194" w:type="dxa"/>
            <w:gridSpan w:val="3"/>
            <w:tcBorders/>
            <w:shd w:fill="auto" w:val="clear"/>
            <w:tcMar>
              <w:top w:w="0" w:type="dxa"/>
              <w:left w:w="0" w:type="dxa"/>
              <w:bottom w:w="0" w:type="dxa"/>
              <w:right w:w="0" w:type="dxa"/>
            </w:tcMar>
            <w:vAlign w:val="center"/>
          </w:tcPr>
          <w:p>
            <w:pPr>
              <w:pStyle w:val="TableContents"/>
              <w:spacing w:before="75" w:after="30"/>
              <w:ind w:left="0" w:right="0" w:hanging="0"/>
              <w:jc w:val="left"/>
              <w:rPr>
                <w:rFonts w:ascii="Times New Roman;serif" w:hAnsi="Times New Roman;serif"/>
                <w:b/>
                <w:sz w:val="20"/>
              </w:rPr>
            </w:pPr>
            <w:r>
              <w:rPr>
                <w:rFonts w:ascii="Times New Roman;serif" w:hAnsi="Times New Roman;serif"/>
                <w:b/>
                <w:sz w:val="20"/>
              </w:rPr>
              <w:t>TAYSHA GENE THERAPIES, INC.</w:t>
            </w:r>
          </w:p>
        </w:tc>
      </w:tr>
      <w:tr>
        <w:trPr/>
        <w:tc>
          <w:tcPr>
            <w:tcW w:w="1741" w:type="dxa"/>
            <w:tcBorders/>
            <w:shd w:fill="auto" w:val="clear"/>
            <w:vAlign w:val="center"/>
          </w:tcPr>
          <w:p>
            <w:pPr>
              <w:pStyle w:val="TableContents"/>
              <w:spacing w:before="0" w:after="0"/>
              <w:ind w:left="0" w:right="0" w:hanging="0"/>
              <w:jc w:val="left"/>
              <w:rPr/>
            </w:pPr>
            <w:r>
              <w:rPr/>
              <w:t> </w:t>
            </w:r>
          </w:p>
        </w:tc>
        <w:tc>
          <w:tcPr>
            <w:tcW w:w="494"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23"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before="75" w:after="30"/>
              <w:ind w:left="0" w:right="0" w:hanging="0"/>
              <w:jc w:val="left"/>
              <w:rPr>
                <w:rFonts w:ascii="Times New Roman" w:hAnsi="Times New Roman"/>
                <w:sz w:val="20"/>
              </w:rPr>
            </w:pPr>
            <w:r>
              <w:rPr>
                <w:rFonts w:ascii="Times New Roman;serif" w:hAnsi="Times New Roman;serif"/>
                <w:b w:val="false"/>
                <w:sz w:val="20"/>
              </w:rPr>
              <w:t xml:space="preserve">Date: </w:t>
            </w:r>
            <w:r>
              <w:rPr>
                <w:rFonts w:ascii="Times New Roman;serif" w:hAnsi="Times New Roman;serif"/>
                <w:b w:val="false"/>
                <w:sz w:val="18"/>
              </w:rPr>
              <w:t>March 28, 2023</w:t>
            </w:r>
          </w:p>
        </w:tc>
        <w:tc>
          <w:tcPr>
            <w:tcW w:w="494" w:type="dxa"/>
            <w:tcBorders/>
            <w:shd w:fill="auto" w:val="clear"/>
            <w:tcMar>
              <w:top w:w="0" w:type="dxa"/>
              <w:left w:w="0" w:type="dxa"/>
              <w:bottom w:w="0" w:type="dxa"/>
              <w:right w:w="0" w:type="dxa"/>
            </w:tcMar>
            <w:vAlign w:val="center"/>
          </w:tcPr>
          <w:p>
            <w:pPr>
              <w:pStyle w:val="TableContents"/>
              <w:spacing w:before="75" w:after="3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77" w:type="dxa"/>
            <w:tcBorders/>
            <w:shd w:fill="auto" w:val="clear"/>
            <w:vAlign w:val="center"/>
          </w:tcPr>
          <w:p>
            <w:pPr>
              <w:pStyle w:val="TableContents"/>
              <w:spacing w:before="0" w:after="0"/>
              <w:ind w:left="0" w:right="0" w:hanging="0"/>
              <w:jc w:val="left"/>
              <w:rPr/>
            </w:pPr>
            <w:r>
              <w:rPr/>
              <w:t> </w:t>
            </w:r>
          </w:p>
        </w:tc>
        <w:tc>
          <w:tcPr>
            <w:tcW w:w="2523"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20"/>
              </w:rPr>
            </w:pPr>
            <w:r>
              <w:rPr>
                <w:rFonts w:ascii="Times New Roman;serif" w:hAnsi="Times New Roman;serif"/>
                <w:b w:val="false"/>
                <w:sz w:val="20"/>
              </w:rPr>
              <w:t>/s/ Sean Nolan</w:t>
            </w:r>
          </w:p>
        </w:tc>
      </w:tr>
      <w:tr>
        <w:trPr/>
        <w:tc>
          <w:tcPr>
            <w:tcW w:w="1741" w:type="dxa"/>
            <w:tcBorders/>
            <w:shd w:fill="auto" w:val="clear"/>
            <w:vAlign w:val="center"/>
          </w:tcPr>
          <w:p>
            <w:pPr>
              <w:pStyle w:val="TableContents"/>
              <w:spacing w:before="0" w:after="0"/>
              <w:ind w:left="0" w:right="0" w:hanging="0"/>
              <w:jc w:val="left"/>
              <w:rPr/>
            </w:pPr>
            <w:r>
              <w:rPr/>
              <w:t> </w:t>
            </w:r>
          </w:p>
        </w:tc>
        <w:tc>
          <w:tcPr>
            <w:tcW w:w="494"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23" w:type="dxa"/>
            <w:tcBorders/>
            <w:shd w:fill="auto" w:val="clear"/>
            <w:tcMar>
              <w:top w:w="0" w:type="dxa"/>
              <w:left w:w="0" w:type="dxa"/>
              <w:bottom w:w="0" w:type="dxa"/>
              <w:right w:w="0" w:type="dxa"/>
            </w:tcMar>
            <w:vAlign w:val="center"/>
          </w:tcPr>
          <w:p>
            <w:pPr>
              <w:pStyle w:val="TableContents"/>
              <w:spacing w:before="55" w:after="0"/>
              <w:ind w:left="0" w:right="0" w:hanging="0"/>
              <w:jc w:val="left"/>
              <w:rPr>
                <w:rFonts w:ascii="Times New Roman;serif" w:hAnsi="Times New Roman;serif"/>
                <w:b w:val="false"/>
                <w:sz w:val="20"/>
              </w:rPr>
            </w:pPr>
            <w:r>
              <w:rPr>
                <w:rFonts w:ascii="Times New Roman;serif" w:hAnsi="Times New Roman;serif"/>
                <w:b w:val="false"/>
                <w:sz w:val="20"/>
              </w:rPr>
              <w:t>Sean Nolan</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spacing w:before="0" w:after="0"/>
        <w:jc w:val="left"/>
        <w:rPr/>
      </w:pPr>
      <w:r>
        <w:rPr/>
        <w:t> </w:t>
      </w:r>
    </w:p>
    <w:p>
      <w:pPr>
        <w:pStyle w:val="TextBody"/>
        <w:spacing w:before="40" w:after="0"/>
        <w:jc w:val="left"/>
        <w:rPr>
          <w:rFonts w:ascii="Times New Roman" w:hAnsi="Times New Roman"/>
          <w:sz w:val="20"/>
        </w:rPr>
      </w:pPr>
      <w:bookmarkStart w:id="32" w:name="power_attomny"/>
      <w:bookmarkEnd w:id="32"/>
      <w:r>
        <w:rPr>
          <w:rFonts w:ascii="Times New Roman;serif" w:hAnsi="Times New Roman;serif"/>
          <w:b w:val="false"/>
          <w:sz w:val="20"/>
        </w:rPr>
        <w:t>KNOW ALL PERSONS BY THESE PRESENTS, that each person whose signature appears below constitutes and appoints Sean Nolan and Kamran Alam, jointly and severally, as his or her true and lawful attorneys-in-fact and agents, with full power of substitution and resubstitution, for him or her and in his or her name, place and stead, in any and all capacities, to sign this Annual Report on Form 10-K of Taysha Gene Therapies, Inc., and any or all amendments thereto, and to file the s</w:t>
      </w:r>
      <w:bookmarkStart w:id="33" w:name="know_all_persons_by_se_presents_that_eac"/>
      <w:bookmarkEnd w:id="33"/>
      <w:r>
        <w:rPr>
          <w:rFonts w:ascii="Times New Roman;serif" w:hAnsi="Times New Roman;serif"/>
          <w:b w:val="false"/>
          <w:sz w:val="20"/>
        </w:rPr>
        <w:t>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104</w:t>
      </w:r>
    </w:p>
    <w:p>
      <w:pPr>
        <w:pStyle w:val="HorizontalLine"/>
        <w:rPr/>
      </w:pPr>
      <w:r>
        <w:rPr/>
      </w:r>
    </w:p>
    <w:p>
      <w:pPr>
        <w:pStyle w:val="TextBody"/>
        <w:spacing w:before="0" w:after="0"/>
        <w:jc w:val="left"/>
        <w:rPr/>
      </w:pPr>
      <w:r>
        <w:rPr/>
        <w:t> </w:t>
      </w:r>
    </w:p>
    <w:tbl>
      <w:tblPr>
        <w:tblW w:w="7266" w:type="dxa"/>
        <w:jc w:val="left"/>
        <w:tblInd w:w="0" w:type="dxa"/>
        <w:tblCellMar>
          <w:top w:w="28" w:type="dxa"/>
          <w:left w:w="28" w:type="dxa"/>
          <w:bottom w:w="28" w:type="dxa"/>
          <w:right w:w="28" w:type="dxa"/>
        </w:tblCellMar>
      </w:tblPr>
      <w:tblGrid>
        <w:gridCol w:w="2431"/>
        <w:gridCol w:w="146"/>
        <w:gridCol w:w="3106"/>
        <w:gridCol w:w="146"/>
        <w:gridCol w:w="1246"/>
        <w:gridCol w:w="191"/>
      </w:tblGrid>
      <w:tr>
        <w:trPr/>
        <w:tc>
          <w:tcPr>
            <w:tcW w:w="2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center"/>
              <w:rPr>
                <w:rFonts w:ascii="Times New Roman;serif" w:hAnsi="Times New Roman;serif"/>
                <w:b/>
                <w:sz w:val="18"/>
              </w:rPr>
            </w:pPr>
            <w:r>
              <w:rPr>
                <w:rFonts w:ascii="Times New Roman;serif" w:hAnsi="Times New Roman;serif"/>
                <w:b/>
                <w:sz w:val="18"/>
              </w:rPr>
              <w:t>Signature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6"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center"/>
              <w:rPr>
                <w:rFonts w:ascii="Times New Roman;serif" w:hAnsi="Times New Roman;serif"/>
                <w:b/>
                <w:sz w:val="18"/>
              </w:rPr>
            </w:pPr>
            <w:r>
              <w:rPr>
                <w:rFonts w:ascii="Times New Roman;serif" w:hAnsi="Times New Roman;serif"/>
                <w:b/>
                <w:sz w:val="18"/>
              </w:rPr>
              <w:t>Title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6"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center"/>
              <w:rPr>
                <w:rFonts w:ascii="Times New Roman;serif" w:hAnsi="Times New Roman;serif"/>
                <w:b/>
                <w:sz w:val="18"/>
              </w:rPr>
            </w:pPr>
            <w:r>
              <w:rPr>
                <w:rFonts w:ascii="Times New Roman;serif" w:hAnsi="Times New Roman;serif"/>
                <w:b/>
                <w:sz w:val="18"/>
              </w:rPr>
              <w:t>Date</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left"/>
              <w:rPr/>
            </w:pPr>
            <w:r>
              <w:rPr/>
              <w:t> </w:t>
            </w:r>
            <w:r>
              <w:rPr>
                <w:rFonts w:ascii="Times New Roman;serif" w:hAnsi="Times New Roman;serif"/>
                <w:b w:val="false"/>
                <w:sz w:val="18"/>
              </w:rPr>
              <w:t>/s/ Sean Nolan</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6" w:type="dxa"/>
            <w:vMerge w:val="restart"/>
            <w:tcBorders/>
            <w:shd w:fill="auto" w:val="clear"/>
            <w:tcMar>
              <w:top w:w="0" w:type="dxa"/>
              <w:left w:w="0" w:type="dxa"/>
              <w:bottom w:w="0" w:type="dxa"/>
              <w:right w:w="0" w:type="dxa"/>
            </w:tcMar>
            <w:vAlign w:val="center"/>
          </w:tcPr>
          <w:p>
            <w:pPr>
              <w:pStyle w:val="TableContents"/>
              <w:spacing w:before="75" w:after="0"/>
              <w:ind w:left="0" w:right="0" w:hanging="0"/>
              <w:jc w:val="left"/>
              <w:rPr>
                <w:rFonts w:ascii="Times New Roman;serif" w:hAnsi="Times New Roman;serif"/>
                <w:b w:val="false"/>
                <w:sz w:val="18"/>
              </w:rPr>
            </w:pPr>
            <w:r>
              <w:rPr>
                <w:rFonts w:ascii="Times New Roman;serif" w:hAnsi="Times New Roman;serif"/>
                <w:b w:val="false"/>
                <w:sz w:val="18"/>
              </w:rPr>
              <w:t>Chief Executive Officer and Director</w:t>
            </w:r>
          </w:p>
          <w:p>
            <w:pPr>
              <w:pStyle w:val="TableContents"/>
              <w:spacing w:before="0" w:after="30"/>
              <w:ind w:left="0" w:right="0" w:hanging="0"/>
              <w:jc w:val="left"/>
              <w:rPr>
                <w:rFonts w:ascii="Times New Roman;serif" w:hAnsi="Times New Roman;serif"/>
                <w:b w:val="false"/>
                <w:i/>
                <w:sz w:val="18"/>
              </w:rPr>
            </w:pPr>
            <w:r>
              <w:rPr>
                <w:rFonts w:ascii="Times New Roman;serif" w:hAnsi="Times New Roman;serif"/>
                <w:b w:val="false"/>
                <w:i/>
                <w:sz w:val="18"/>
              </w:rPr>
              <w:t>(Principal Executive Officer)</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bottom w:val="single" w:sz="4"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March 28, 2023</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55" w:after="30"/>
              <w:ind w:left="0" w:right="0" w:hanging="0"/>
              <w:jc w:val="left"/>
              <w:rPr>
                <w:rFonts w:ascii="Times New Roman;serif" w:hAnsi="Times New Roman;serif"/>
                <w:b w:val="false"/>
                <w:sz w:val="18"/>
              </w:rPr>
            </w:pPr>
            <w:r>
              <w:rPr>
                <w:rFonts w:ascii="Times New Roman;serif" w:hAnsi="Times New Roman;serif"/>
                <w:b w:val="false"/>
                <w:sz w:val="18"/>
              </w:rPr>
              <w:t>Sean Nolan</w:t>
            </w:r>
          </w:p>
        </w:tc>
        <w:tc>
          <w:tcPr>
            <w:tcW w:w="146" w:type="dxa"/>
            <w:tcBorders/>
            <w:shd w:fill="auto" w:val="clear"/>
            <w:vAlign w:val="center"/>
          </w:tcPr>
          <w:p>
            <w:pPr>
              <w:pStyle w:val="TableContents"/>
              <w:spacing w:before="0" w:after="0"/>
              <w:ind w:left="0" w:right="0" w:hanging="0"/>
              <w:jc w:val="left"/>
              <w:rPr/>
            </w:pPr>
            <w:r>
              <w:rPr/>
              <w:t> </w:t>
            </w:r>
          </w:p>
        </w:tc>
        <w:tc>
          <w:tcPr>
            <w:tcW w:w="3106" w:type="dxa"/>
            <w:vMerge w:val="continue"/>
            <w:tcBorders/>
            <w:shd w:fill="auto" w:val="clear"/>
            <w:tcMar>
              <w:top w:w="0" w:type="dxa"/>
              <w:left w:w="0" w:type="dxa"/>
              <w:bottom w:w="0" w:type="dxa"/>
              <w:right w:w="0" w:type="dxa"/>
            </w:tcMar>
            <w:vAlign w:val="center"/>
          </w:tcPr>
          <w:p>
            <w:pPr>
              <w:pStyle w:val="Normal"/>
              <w:rPr/>
            </w:pPr>
            <w:r>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4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left"/>
              <w:rPr/>
            </w:pPr>
            <w:r>
              <w:rPr/>
              <w:t> </w:t>
            </w:r>
            <w:r>
              <w:rPr>
                <w:rFonts w:ascii="Times New Roman;serif" w:hAnsi="Times New Roman;serif"/>
                <w:b w:val="false"/>
                <w:sz w:val="18"/>
              </w:rPr>
              <w:t>/s/ Kamran Alam</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6" w:type="dxa"/>
            <w:vMerge w:val="restart"/>
            <w:tcBorders/>
            <w:shd w:fill="auto" w:val="clear"/>
            <w:tcMar>
              <w:top w:w="0" w:type="dxa"/>
              <w:left w:w="0" w:type="dxa"/>
              <w:bottom w:w="0" w:type="dxa"/>
              <w:right w:w="0" w:type="dxa"/>
            </w:tcMar>
            <w:vAlign w:val="center"/>
          </w:tcPr>
          <w:p>
            <w:pPr>
              <w:pStyle w:val="TableContents"/>
              <w:spacing w:before="75" w:after="0"/>
              <w:ind w:left="0" w:right="0" w:hanging="0"/>
              <w:jc w:val="left"/>
              <w:rPr>
                <w:rFonts w:ascii="Times New Roman;serif" w:hAnsi="Times New Roman;serif"/>
                <w:b w:val="false"/>
                <w:sz w:val="18"/>
              </w:rPr>
            </w:pPr>
            <w:r>
              <w:rPr>
                <w:rFonts w:ascii="Times New Roman;serif" w:hAnsi="Times New Roman;serif"/>
                <w:b w:val="false"/>
                <w:sz w:val="18"/>
              </w:rPr>
              <w:t>Chief Financial Officer</w:t>
            </w:r>
          </w:p>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(Principal Financial Officer and Principal</w:t>
            </w:r>
          </w:p>
          <w:p>
            <w:pPr>
              <w:pStyle w:val="TableContents"/>
              <w:spacing w:before="0" w:after="30"/>
              <w:ind w:left="0" w:right="0" w:hanging="0"/>
              <w:jc w:val="left"/>
              <w:rPr>
                <w:rFonts w:ascii="Times New Roman;serif" w:hAnsi="Times New Roman;serif"/>
                <w:b w:val="false"/>
                <w:i/>
                <w:sz w:val="18"/>
              </w:rPr>
            </w:pPr>
            <w:r>
              <w:rPr>
                <w:rFonts w:ascii="Times New Roman;serif" w:hAnsi="Times New Roman;serif"/>
                <w:b w:val="false"/>
                <w:i/>
                <w:sz w:val="18"/>
              </w:rPr>
              <w:t>Accounting Officer)</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bottom w:val="single" w:sz="4"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March 28, 2023</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55" w:after="30"/>
              <w:ind w:left="0" w:right="0" w:hanging="0"/>
              <w:jc w:val="left"/>
              <w:rPr>
                <w:rFonts w:ascii="Times New Roman;serif" w:hAnsi="Times New Roman;serif"/>
                <w:b w:val="false"/>
                <w:sz w:val="18"/>
              </w:rPr>
            </w:pPr>
            <w:r>
              <w:rPr>
                <w:rFonts w:ascii="Times New Roman;serif" w:hAnsi="Times New Roman;serif"/>
                <w:b w:val="false"/>
                <w:sz w:val="18"/>
              </w:rPr>
              <w:t>Kamran Alam</w:t>
            </w:r>
          </w:p>
        </w:tc>
        <w:tc>
          <w:tcPr>
            <w:tcW w:w="146" w:type="dxa"/>
            <w:tcBorders/>
            <w:shd w:fill="auto" w:val="clear"/>
            <w:vAlign w:val="center"/>
          </w:tcPr>
          <w:p>
            <w:pPr>
              <w:pStyle w:val="TableContents"/>
              <w:spacing w:before="0" w:after="0"/>
              <w:ind w:left="0" w:right="0" w:hanging="0"/>
              <w:jc w:val="left"/>
              <w:rPr/>
            </w:pPr>
            <w:r>
              <w:rPr/>
              <w:t> </w:t>
            </w:r>
          </w:p>
        </w:tc>
        <w:tc>
          <w:tcPr>
            <w:tcW w:w="3106" w:type="dxa"/>
            <w:vMerge w:val="continue"/>
            <w:tcBorders/>
            <w:shd w:fill="auto" w:val="clear"/>
            <w:tcMar>
              <w:top w:w="0" w:type="dxa"/>
              <w:left w:w="0" w:type="dxa"/>
              <w:bottom w:w="0" w:type="dxa"/>
              <w:right w:w="0" w:type="dxa"/>
            </w:tcMar>
            <w:vAlign w:val="center"/>
          </w:tcPr>
          <w:p>
            <w:pPr>
              <w:pStyle w:val="Normal"/>
              <w:rPr/>
            </w:pPr>
            <w:r>
              <w:rPr/>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/s/ Phillip B. Donenberg</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6" w:type="dxa"/>
            <w:tcBorders/>
            <w:shd w:fill="auto" w:val="clear"/>
            <w:tcMar>
              <w:top w:w="0" w:type="dxa"/>
              <w:left w:w="0" w:type="dxa"/>
              <w:bottom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Director</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bottom w:val="single" w:sz="4"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March 28, 2023</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55" w:after="30"/>
              <w:ind w:left="0" w:right="0" w:hanging="0"/>
              <w:jc w:val="left"/>
              <w:rPr>
                <w:rFonts w:ascii="Times New Roman;serif" w:hAnsi="Times New Roman;serif"/>
                <w:b w:val="false"/>
                <w:sz w:val="18"/>
              </w:rPr>
            </w:pPr>
            <w:r>
              <w:rPr>
                <w:rFonts w:ascii="Times New Roman;serif" w:hAnsi="Times New Roman;serif"/>
                <w:b w:val="false"/>
                <w:sz w:val="18"/>
              </w:rPr>
              <w:t>Phillip B. Donenberg</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/s/ Paul B. Manning</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6" w:type="dxa"/>
            <w:tcBorders/>
            <w:shd w:fill="auto" w:val="clear"/>
            <w:tcMar>
              <w:top w:w="0" w:type="dxa"/>
              <w:left w:w="0" w:type="dxa"/>
              <w:bottom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Director</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bottom w:val="single" w:sz="4"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March 28, 2023</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55" w:after="30"/>
              <w:ind w:left="0" w:right="0" w:hanging="0"/>
              <w:jc w:val="left"/>
              <w:rPr>
                <w:rFonts w:ascii="Times New Roman;serif" w:hAnsi="Times New Roman;serif"/>
                <w:b w:val="false"/>
                <w:sz w:val="18"/>
              </w:rPr>
            </w:pPr>
            <w:r>
              <w:rPr>
                <w:rFonts w:ascii="Times New Roman;serif" w:hAnsi="Times New Roman;serif"/>
                <w:b w:val="false"/>
                <w:sz w:val="18"/>
              </w:rPr>
              <w:t>Paul B. Manning</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/s/ Sukumar Nagendran, M.D.</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6" w:type="dxa"/>
            <w:tcBorders/>
            <w:shd w:fill="auto" w:val="clear"/>
            <w:tcMar>
              <w:top w:w="0" w:type="dxa"/>
              <w:left w:w="0" w:type="dxa"/>
              <w:bottom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Director</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bottom w:val="single" w:sz="4"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March 28, 2023</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55" w:after="30"/>
              <w:ind w:left="0" w:right="0" w:hanging="0"/>
              <w:jc w:val="left"/>
              <w:rPr>
                <w:rFonts w:ascii="Times New Roman;serif" w:hAnsi="Times New Roman;serif"/>
                <w:b w:val="false"/>
                <w:sz w:val="18"/>
              </w:rPr>
            </w:pPr>
            <w:r>
              <w:rPr>
                <w:rFonts w:ascii="Times New Roman;serif" w:hAnsi="Times New Roman;serif"/>
                <w:b w:val="false"/>
                <w:sz w:val="18"/>
              </w:rPr>
              <w:t>Sukumar Nagendran, M.D.</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/s/ Kathleen Reape, M.D.</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6" w:type="dxa"/>
            <w:tcBorders/>
            <w:shd w:fill="auto" w:val="clear"/>
            <w:tcMar>
              <w:top w:w="0" w:type="dxa"/>
              <w:left w:w="0" w:type="dxa"/>
              <w:bottom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Director</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bottom w:val="single" w:sz="4"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March 28, 2023</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55" w:after="30"/>
              <w:ind w:left="0" w:right="0" w:hanging="0"/>
              <w:jc w:val="left"/>
              <w:rPr>
                <w:rFonts w:ascii="Times New Roman;serif" w:hAnsi="Times New Roman;serif"/>
                <w:b w:val="false"/>
                <w:sz w:val="18"/>
              </w:rPr>
            </w:pPr>
            <w:r>
              <w:rPr>
                <w:rFonts w:ascii="Times New Roman;serif" w:hAnsi="Times New Roman;serif"/>
                <w:b w:val="false"/>
                <w:sz w:val="18"/>
              </w:rPr>
              <w:t>Kathleen Reape, M.D.</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bottom w:val="single" w:sz="8"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/s/ Laura Sepp-Lorenzino, Ph.D.</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6" w:type="dxa"/>
            <w:tcBorders/>
            <w:shd w:fill="auto" w:val="clear"/>
            <w:tcMar>
              <w:top w:w="0" w:type="dxa"/>
              <w:left w:w="0" w:type="dxa"/>
              <w:bottom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Director</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bottom w:val="single" w:sz="4" w:space="0" w:color="000000"/>
            </w:tcBorders>
            <w:shd w:fill="auto" w:val="clear"/>
            <w:tcMar>
              <w:top w:w="0" w:type="dxa"/>
              <w:left w:w="0" w:type="dxa"/>
              <w:right w:w="0" w:type="dxa"/>
            </w:tcMar>
            <w:vAlign w:val="center"/>
          </w:tcPr>
          <w:p>
            <w:pPr>
              <w:pStyle w:val="TableContents"/>
              <w:spacing w:before="75" w:after="30"/>
              <w:ind w:left="0" w:right="0" w:hanging="0"/>
              <w:jc w:val="left"/>
              <w:rPr>
                <w:rFonts w:ascii="Times New Roman;serif" w:hAnsi="Times New Roman;serif"/>
                <w:b w:val="false"/>
                <w:sz w:val="18"/>
              </w:rPr>
            </w:pPr>
            <w:r>
              <w:rPr>
                <w:rFonts w:ascii="Times New Roman;serif" w:hAnsi="Times New Roman;serif"/>
                <w:b w:val="false"/>
                <w:sz w:val="18"/>
              </w:rPr>
              <w:t>March 28, 2023</w:t>
            </w:r>
          </w:p>
        </w:tc>
        <w:tc>
          <w:tcPr>
            <w:tcW w:w="191" w:type="dxa"/>
            <w:tcBorders/>
            <w:shd w:fill="auto" w:val="clea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55" w:after="30"/>
              <w:ind w:left="0" w:right="0" w:hanging="0"/>
              <w:jc w:val="left"/>
              <w:rPr>
                <w:rFonts w:ascii="Times New Roman;serif" w:hAnsi="Times New Roman;serif"/>
                <w:b w:val="false"/>
                <w:sz w:val="18"/>
              </w:rPr>
            </w:pPr>
            <w:r>
              <w:rPr>
                <w:rFonts w:ascii="Times New Roman;serif" w:hAnsi="Times New Roman;serif"/>
                <w:b w:val="false"/>
                <w:sz w:val="18"/>
              </w:rPr>
              <w:t>Laura Sepp-Lorenzino, Ph.D.</w:t>
            </w:r>
          </w:p>
        </w:tc>
        <w:tc>
          <w:tcPr>
            <w:tcW w:w="146" w:type="dxa"/>
            <w:tcBorders/>
            <w:shd w:fill="auto" w:val="clear"/>
            <w:vAlign w:val="center"/>
          </w:tcPr>
          <w:p>
            <w:pPr>
              <w:pStyle w:val="TableContents"/>
              <w:spacing w:before="0" w:after="0"/>
              <w:ind w:left="0" w:right="0" w:hanging="0"/>
              <w:jc w:val="left"/>
              <w:rPr/>
            </w:pPr>
            <w:r>
              <w:rPr/>
              <w:t> </w:t>
            </w:r>
          </w:p>
        </w:tc>
        <w:tc>
          <w:tcPr>
            <w:tcW w:w="31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tcBorders/>
            <w:shd w:fill="auto" w:val="clear"/>
            <w:vAlign w:val="center"/>
          </w:tcPr>
          <w:p>
            <w:pPr>
              <w:pStyle w:val="TableContents"/>
              <w:spacing w:before="0" w:after="0"/>
              <w:ind w:left="0" w:right="0" w:hanging="0"/>
              <w:jc w:val="left"/>
              <w:rPr/>
            </w:pPr>
            <w:r>
              <w:rPr/>
              <w:t> </w:t>
            </w:r>
          </w:p>
        </w:tc>
        <w:tc>
          <w:tcPr>
            <w:tcW w:w="191"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105</w:t>
      </w:r>
    </w:p>
    <w:p>
      <w:pPr>
        <w:pStyle w:val="HorizontalLine"/>
        <w:rPr/>
      </w:pPr>
      <w:r>
        <w:rPr/>
      </w:r>
      <w:r>
        <w:br w:type="page"/>
      </w:r>
    </w:p>
    <w:p>
      <w:pPr>
        <w:pStyle w:val="TextBody"/>
        <w:spacing w:before="0" w:after="0"/>
        <w:jc w:val="right"/>
        <w:rPr/>
      </w:pPr>
      <w:bookmarkStart w:id="34" w:name="tsha-ex10_23.htm"/>
      <w:bookmarkStart w:id="35" w:name="kstshaex10_23"/>
      <w:bookmarkEnd w:id="34"/>
      <w:bookmarkEnd w:id="35"/>
      <w:r>
        <w:rPr/>
        <w:t> </w:t>
      </w:r>
    </w:p>
    <w:p>
      <w:pPr>
        <w:pStyle w:val="TextBody"/>
        <w:spacing w:before="0" w:after="480"/>
        <w:jc w:val="right"/>
        <w:rPr>
          <w:rFonts w:ascii="Times New Roman" w:hAnsi="Times New Roman"/>
          <w:sz w:val="20"/>
        </w:rPr>
      </w:pPr>
      <w:r>
        <w:rPr>
          <w:rFonts w:ascii="Times New Roman;serif" w:hAnsi="Times New Roman;serif"/>
          <w:b/>
          <w:sz w:val="24"/>
        </w:rPr>
        <w:t xml:space="preserve">Exhibit </w:t>
      </w:r>
      <w:r>
        <w:rPr>
          <w:rFonts w:ascii="Times New Roman;serif" w:hAnsi="Times New Roman;serif"/>
          <w:b/>
          <w:smallCaps/>
          <w:sz w:val="24"/>
        </w:rPr>
        <w:t>10.23</w:t>
      </w:r>
    </w:p>
    <w:p>
      <w:pPr>
        <w:pStyle w:val="TextBody"/>
        <w:spacing w:before="0" w:after="480"/>
        <w:jc w:val="center"/>
        <w:rPr>
          <w:rFonts w:ascii="Times New Roman;serif" w:hAnsi="Times New Roman;serif"/>
          <w:b/>
          <w:smallCaps/>
          <w:sz w:val="24"/>
        </w:rPr>
      </w:pPr>
      <w:bookmarkStart w:id="36" w:name="letterdatewithsdp"/>
      <w:bookmarkEnd w:id="36"/>
      <w:r>
        <w:rPr>
          <w:rFonts w:ascii="Times New Roman;serif" w:hAnsi="Times New Roman;serif"/>
          <w:b/>
          <w:smallCaps/>
          <w:sz w:val="24"/>
        </w:rPr>
        <w:t>Taysha Gene Therapies, Inc.</w:t>
      </w:r>
    </w:p>
    <w:p>
      <w:pPr>
        <w:pStyle w:val="TextBody"/>
        <w:spacing w:before="0" w:after="480"/>
        <w:jc w:val="both"/>
        <w:rPr>
          <w:rFonts w:ascii="Times New Roman;serif" w:hAnsi="Times New Roman;serif"/>
          <w:b w:val="false"/>
          <w:sz w:val="24"/>
        </w:rPr>
      </w:pPr>
      <w:r>
        <w:rPr>
          <w:rFonts w:ascii="Times New Roman;serif" w:hAnsi="Times New Roman;serif"/>
          <w:b w:val="false"/>
          <w:sz w:val="24"/>
        </w:rPr>
        <w:t>December 30, 2022</w:t>
      </w:r>
    </w:p>
    <w:p>
      <w:pPr>
        <w:pStyle w:val="TextBody"/>
        <w:spacing w:before="0" w:after="0"/>
        <w:jc w:val="left"/>
        <w:rPr>
          <w:rFonts w:ascii="Times New Roman;serif" w:hAnsi="Times New Roman;serif"/>
          <w:b w:val="false"/>
          <w:sz w:val="24"/>
        </w:rPr>
      </w:pPr>
      <w:r>
        <w:rPr>
          <w:rFonts w:ascii="Times New Roman;serif" w:hAnsi="Times New Roman;serif"/>
          <w:b w:val="false"/>
          <w:sz w:val="24"/>
        </w:rPr>
        <w:t>Sean Nolan</w:t>
      </w:r>
    </w:p>
    <w:p>
      <w:pPr>
        <w:pStyle w:val="TextBody"/>
        <w:spacing w:before="0" w:after="0"/>
        <w:jc w:val="left"/>
        <w:rPr/>
      </w:pPr>
      <w:r>
        <w:rPr/>
        <w:t> </w:t>
      </w:r>
    </w:p>
    <w:p>
      <w:pPr>
        <w:pStyle w:val="TextBody"/>
        <w:spacing w:before="0" w:after="240"/>
        <w:jc w:val="left"/>
        <w:rPr>
          <w:rFonts w:ascii="Times New Roman;serif" w:hAnsi="Times New Roman;serif"/>
          <w:b/>
          <w:sz w:val="24"/>
        </w:rPr>
      </w:pPr>
      <w:r>
        <w:rPr>
          <w:rFonts w:ascii="Times New Roman;serif" w:hAnsi="Times New Roman;serif"/>
          <w:b/>
          <w:sz w:val="24"/>
        </w:rPr>
        <w:t>Re: Offer of Employment</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Dear Sean:</w:t>
      </w:r>
    </w:p>
    <w:p>
      <w:pPr>
        <w:pStyle w:val="TextBody"/>
        <w:spacing w:before="0" w:after="240"/>
        <w:jc w:val="both"/>
        <w:rPr>
          <w:rFonts w:ascii="Times New Roman" w:hAnsi="Times New Roman"/>
          <w:sz w:val="20"/>
        </w:rPr>
      </w:pPr>
      <w:r>
        <w:rPr>
          <w:rFonts w:ascii="Times New Roman;serif" w:hAnsi="Times New Roman;serif"/>
          <w:b w:val="false"/>
          <w:sz w:val="24"/>
        </w:rPr>
        <w:t>Taysha Gene Therapies, Inc. (the “</w:t>
      </w:r>
      <w:r>
        <w:rPr>
          <w:rFonts w:ascii="Times New Roman;serif" w:hAnsi="Times New Roman;serif"/>
          <w:b/>
          <w:sz w:val="24"/>
        </w:rPr>
        <w:t>Company</w:t>
      </w:r>
      <w:r>
        <w:rPr>
          <w:rFonts w:ascii="Times New Roman" w:hAnsi="Times New Roman"/>
          <w:sz w:val="20"/>
        </w:rPr>
        <w:t>”</w:t>
      </w:r>
      <w:r>
        <w:rPr>
          <w:rFonts w:ascii="Times New Roman;serif" w:hAnsi="Times New Roman;serif"/>
          <w:b w:val="false"/>
          <w:sz w:val="24"/>
        </w:rPr>
        <w:t>) is pleased to offer you employment in the position of Chief Executive Officer (“</w:t>
      </w:r>
      <w:r>
        <w:rPr>
          <w:rFonts w:ascii="Times New Roman;serif" w:hAnsi="Times New Roman;serif"/>
          <w:b/>
          <w:sz w:val="24"/>
        </w:rPr>
        <w:t>CEO</w:t>
      </w:r>
      <w:r>
        <w:rPr>
          <w:rFonts w:ascii="Times New Roman" w:hAnsi="Times New Roman"/>
          <w:sz w:val="20"/>
        </w:rPr>
        <w:t>”</w:t>
      </w:r>
      <w:r>
        <w:rPr>
          <w:rFonts w:ascii="Times New Roman;serif" w:hAnsi="Times New Roman;serif"/>
          <w:b w:val="false"/>
          <w:sz w:val="24"/>
        </w:rPr>
        <w:t>) on the terms and conditions set forth in this letter agreement (the “</w:t>
      </w:r>
      <w:r>
        <w:rPr>
          <w:rFonts w:ascii="Times New Roman;serif" w:hAnsi="Times New Roman;serif"/>
          <w:b/>
          <w:sz w:val="24"/>
        </w:rPr>
        <w:t>Agreement</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p>
    <w:p>
      <w:pPr>
        <w:pStyle w:val="TextBody"/>
        <w:spacing w:before="0" w:after="240"/>
        <w:jc w:val="both"/>
        <w:rPr>
          <w:rFonts w:ascii="Times New Roman" w:hAnsi="Times New Roman"/>
          <w:b/>
          <w:caps/>
          <w:sz w:val="24"/>
        </w:rPr>
      </w:pPr>
      <w:r>
        <w:rPr>
          <w:rFonts w:ascii="Times New Roman" w:hAnsi="Times New Roman"/>
          <w:b/>
          <w:caps/>
          <w:sz w:val="24"/>
        </w:rPr>
        <w:t>1.</w:t>
      </w:r>
    </w:p>
    <w:p>
      <w:pPr>
        <w:pStyle w:val="TextBody"/>
        <w:spacing w:before="0" w:after="240"/>
        <w:jc w:val="both"/>
        <w:rPr/>
      </w:pPr>
      <w:r>
        <w:rPr>
          <w:rFonts w:ascii="Times New Roman;serif" w:hAnsi="Times New Roman;serif"/>
          <w:b/>
          <w:sz w:val="24"/>
        </w:rPr>
        <w:t>Employment by the Company.</w:t>
      </w:r>
      <w:r>
        <w:rPr/>
        <w:t xml:space="preserve"> </w:t>
      </w:r>
      <w:r>
        <w:rPr>
          <w:rFonts w:ascii="Times New Roman;serif" w:hAnsi="Times New Roman;serif"/>
          <w:b w:val="false"/>
          <w:sz w:val="24"/>
        </w:rPr>
        <w:t>Your employment with the Company began on December 16, 2022 (the “</w:t>
      </w:r>
      <w:r>
        <w:rPr>
          <w:rFonts w:ascii="Times New Roman;serif" w:hAnsi="Times New Roman;serif"/>
          <w:b/>
          <w:sz w:val="24"/>
        </w:rPr>
        <w:t>Start Date</w:t>
      </w:r>
      <w:r>
        <w:rPr/>
        <w:t>”</w:t>
      </w:r>
      <w:r>
        <w:rPr>
          <w:rFonts w:ascii="Times New Roman;serif" w:hAnsi="Times New Roman;serif"/>
          <w:b w:val="false"/>
          <w:sz w:val="24"/>
        </w:rPr>
        <w:t>). This is an exempt position, and during your employment with the Company, you will devote your best efforts and substantially all of your business time and attention to the business of the Company, except for the outside activities described in Section 6 and approved vacation periods and reasonable periods of illness or other incapacities permitted by the Company’s general employment policies. You shall perform such duties as are required by the Company’s Board of Directors (“</w:t>
      </w:r>
      <w:r>
        <w:rPr>
          <w:rFonts w:ascii="Times New Roman;serif" w:hAnsi="Times New Roman;serif"/>
          <w:b/>
          <w:sz w:val="24"/>
        </w:rPr>
        <w:t>Board</w:t>
      </w:r>
      <w:r>
        <w:rPr/>
        <w:t>”</w:t>
      </w:r>
      <w:r>
        <w:rPr>
          <w:rFonts w:ascii="Times New Roman;serif" w:hAnsi="Times New Roman;serif"/>
          <w:b w:val="false"/>
          <w:sz w:val="24"/>
        </w:rPr>
        <w:t xml:space="preserve">), to whom you will report. You shall, if requested, also serve as a member of the Board during the term of your employment for no additional compensation. You represent to the Company that you are not subject to or a party to any employment agreement, non-competition covenant, or other agreement that would be breached by, or prohibit you from, executing this Agreement and performing fully your duties and responsibilities hereunder. While you may work remotely from your homes in Libertyville, Illinois and Naples, Florida, you will be expected to spend an average of three (3) business days per week at the Company’s office located in Dallas, Texas. The Company reserves the right to reasonably require you to perform your duties at places other than your primary office location from time to time, and to require reasonable business travel. The Company may modify your job title and duties as it deems necessary and appropriate in light of the Company’s needs and interests from time to time. </w:t>
      </w:r>
    </w:p>
    <w:p>
      <w:pPr>
        <w:pStyle w:val="TextBody"/>
        <w:spacing w:before="0" w:after="240"/>
        <w:jc w:val="both"/>
        <w:rPr>
          <w:rFonts w:ascii="Times New Roman" w:hAnsi="Times New Roman"/>
          <w:b/>
          <w:caps/>
          <w:sz w:val="24"/>
        </w:rPr>
      </w:pPr>
      <w:r>
        <w:rPr>
          <w:rFonts w:ascii="Times New Roman" w:hAnsi="Times New Roman"/>
          <w:b/>
          <w:caps/>
          <w:sz w:val="24"/>
        </w:rPr>
        <w:t>2.</w:t>
      </w:r>
    </w:p>
    <w:p>
      <w:pPr>
        <w:pStyle w:val="TextBody"/>
        <w:spacing w:before="0" w:after="240"/>
        <w:jc w:val="both"/>
        <w:rPr>
          <w:rFonts w:ascii="Times New Roman;serif" w:hAnsi="Times New Roman;serif"/>
          <w:b/>
          <w:sz w:val="24"/>
        </w:rPr>
      </w:pPr>
      <w:r>
        <w:rPr>
          <w:rFonts w:ascii="Times New Roman;serif" w:hAnsi="Times New Roman;serif"/>
          <w:b/>
          <w:sz w:val="24"/>
        </w:rPr>
        <w:t>Compensation.</w:t>
      </w:r>
    </w:p>
    <w:p>
      <w:pPr>
        <w:pStyle w:val="TextBody"/>
        <w:spacing w:before="0" w:after="240"/>
        <w:jc w:val="both"/>
        <w:rPr>
          <w:rFonts w:ascii="Times New Roman" w:hAnsi="Times New Roman"/>
          <w:b/>
          <w:sz w:val="24"/>
        </w:rPr>
      </w:pPr>
      <w:r>
        <w:rPr>
          <w:rFonts w:ascii="Times New Roman" w:hAnsi="Times New Roman"/>
          <w:b/>
          <w:sz w:val="24"/>
        </w:rPr>
        <w:t>2.1</w:t>
      </w:r>
    </w:p>
    <w:p>
      <w:pPr>
        <w:pStyle w:val="TextBody"/>
        <w:spacing w:before="0" w:after="240"/>
        <w:jc w:val="both"/>
        <w:rPr/>
      </w:pPr>
      <w:r>
        <w:rPr>
          <w:rFonts w:ascii="Times New Roman;serif" w:hAnsi="Times New Roman;serif"/>
          <w:b/>
          <w:sz w:val="24"/>
        </w:rPr>
        <w:t>Base Salary.</w:t>
      </w:r>
      <w:r>
        <w:rPr/>
        <w:t xml:space="preserve"> </w:t>
      </w:r>
      <w:r>
        <w:rPr>
          <w:rFonts w:ascii="Times New Roman;serif" w:hAnsi="Times New Roman;serif"/>
          <w:b w:val="false"/>
          <w:sz w:val="24"/>
        </w:rPr>
        <w:t>For services to be rendered hereunder, you shall receive a base salary at the rate of $600,000 per year (the “</w:t>
      </w:r>
      <w:r>
        <w:rPr>
          <w:rFonts w:ascii="Times New Roman;serif" w:hAnsi="Times New Roman;serif"/>
          <w:b/>
          <w:sz w:val="24"/>
        </w:rPr>
        <w:t>Base Salary</w:t>
      </w:r>
      <w:r>
        <w:rPr/>
        <w:t>”</w:t>
      </w:r>
      <w:r>
        <w:rPr>
          <w:rFonts w:ascii="Times New Roman;serif" w:hAnsi="Times New Roman;serif"/>
          <w:b w:val="false"/>
          <w:sz w:val="24"/>
        </w:rPr>
        <w:t>), subject to standard payroll deductions and withholdings and payable in accordance with the Company’s regular payroll schedule.</w:t>
      </w:r>
    </w:p>
    <w:p>
      <w:pPr>
        <w:pStyle w:val="TextBody"/>
        <w:spacing w:before="0" w:after="240"/>
        <w:jc w:val="both"/>
        <w:rPr>
          <w:rFonts w:ascii="Times New Roman" w:hAnsi="Times New Roman"/>
          <w:b/>
          <w:sz w:val="24"/>
        </w:rPr>
      </w:pPr>
      <w:r>
        <w:rPr>
          <w:rFonts w:ascii="Times New Roman" w:hAnsi="Times New Roman"/>
          <w:b/>
          <w:sz w:val="24"/>
        </w:rPr>
        <w:t>2.2</w:t>
      </w:r>
    </w:p>
    <w:p>
      <w:pPr>
        <w:pStyle w:val="TextBody"/>
        <w:spacing w:before="0" w:after="240"/>
        <w:jc w:val="both"/>
        <w:rPr/>
      </w:pPr>
      <w:r>
        <w:rPr>
          <w:rFonts w:ascii="Times New Roman;serif" w:hAnsi="Times New Roman;serif"/>
          <w:b/>
          <w:sz w:val="24"/>
        </w:rPr>
        <w:t>Annual Bonus.</w:t>
      </w:r>
      <w:r>
        <w:rPr/>
        <w:t xml:space="preserve"> </w:t>
      </w:r>
      <w:r>
        <w:rPr>
          <w:rFonts w:ascii="Times New Roman;serif" w:hAnsi="Times New Roman;serif"/>
          <w:b w:val="false"/>
          <w:sz w:val="24"/>
        </w:rPr>
        <w:t>Beginning in calendar year 2023, you will be eligible for an annual discretionary performance bonus with a target amount of up to</w:t>
      </w:r>
      <w:r>
        <w:rPr/>
        <w:t xml:space="preserve"> </w:t>
      </w:r>
      <w:r>
        <w:rPr>
          <w:rFonts w:ascii="Times New Roman;serif" w:hAnsi="Times New Roman;serif"/>
          <w:b w:val="false"/>
          <w:sz w:val="24"/>
        </w:rPr>
        <w:t xml:space="preserve">60% of your then current annual Base Salary (the </w:t>
      </w:r>
      <w:r>
        <w:rPr/>
        <w:t>“</w:t>
      </w:r>
      <w:r>
        <w:rPr>
          <w:rFonts w:ascii="Times New Roman;serif" w:hAnsi="Times New Roman;serif"/>
          <w:b/>
          <w:sz w:val="24"/>
        </w:rPr>
        <w:t>Annual Bonus”</w:t>
      </w:r>
      <w:r>
        <w:rPr>
          <w:rFonts w:ascii="Times New Roman;serif" w:hAnsi="Times New Roman;serif"/>
          <w:b w:val="false"/>
          <w:sz w:val="24"/>
        </w:rPr>
        <w:t xml:space="preserve">). Whether you receive an Annual Bonus for any given year, and the amount of any such Annual Bonus, will be determined by the Board in its discretion based upon its assessment of the Company’s and your individual performance, and any other criteria that the Board </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278842415 v5</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pPr>
      <w:r>
        <w:rPr>
          <w:rFonts w:ascii="Times New Roman;serif" w:hAnsi="Times New Roman;serif"/>
          <w:b w:val="false"/>
          <w:sz w:val="24"/>
        </w:rPr>
        <w:t>deems relevant. The performance goals to which the annual bonus relates will be set in advance in writing and revised annually, semi-annually, or quarterly by the Compensation Committee in consultation with you. The Compensation Committee will inform you of the performance goals and his attainment toward such goals upon your reasonable request. You must continue to be employed through the date the Annual Bonus is paid in order to earn such bonus. The Annual Bonus, if any, shall be paid to you in a lump sum no later than March 15</w:t>
      </w:r>
      <w:r>
        <w:rPr>
          <w:rFonts w:ascii="Times New Roman;serif" w:hAnsi="Times New Roman;serif"/>
          <w:b w:val="false"/>
          <w:sz w:val="16"/>
        </w:rPr>
        <w:t>th</w:t>
      </w:r>
      <w:r>
        <w:rPr/>
        <w:t xml:space="preserve"> </w:t>
      </w:r>
      <w:r>
        <w:rPr>
          <w:rFonts w:ascii="Times New Roman;serif" w:hAnsi="Times New Roman;serif"/>
          <w:b w:val="false"/>
          <w:sz w:val="24"/>
        </w:rPr>
        <w:t>of the calendar year that follows the applicable performance year, subject to applicable payroll deductions and withholdings.</w:t>
      </w:r>
    </w:p>
    <w:p>
      <w:pPr>
        <w:pStyle w:val="TextBody"/>
        <w:spacing w:before="0" w:after="240"/>
        <w:jc w:val="both"/>
        <w:rPr>
          <w:rFonts w:ascii="Times New Roman" w:hAnsi="Times New Roman"/>
          <w:b/>
          <w:sz w:val="24"/>
        </w:rPr>
      </w:pPr>
      <w:r>
        <w:rPr>
          <w:rFonts w:ascii="Times New Roman" w:hAnsi="Times New Roman"/>
          <w:b/>
          <w:sz w:val="24"/>
        </w:rPr>
        <w:t>2.3</w:t>
      </w:r>
    </w:p>
    <w:p>
      <w:pPr>
        <w:pStyle w:val="TextBody"/>
        <w:spacing w:before="0" w:after="240"/>
        <w:jc w:val="both"/>
        <w:rPr/>
      </w:pPr>
      <w:r>
        <w:rPr>
          <w:rFonts w:ascii="Times New Roman;serif" w:hAnsi="Times New Roman;serif"/>
          <w:b/>
          <w:sz w:val="24"/>
        </w:rPr>
        <w:t>Equity</w:t>
      </w:r>
      <w:r>
        <w:rPr>
          <w:rFonts w:ascii="Times New Roman;serif" w:hAnsi="Times New Roman;serif"/>
          <w:b w:val="false"/>
          <w:sz w:val="24"/>
        </w:rPr>
        <w:t>. Subject to approval by the Company’s Board of Directors (the “</w:t>
      </w:r>
      <w:r>
        <w:rPr>
          <w:rFonts w:ascii="Times New Roman;serif" w:hAnsi="Times New Roman;serif"/>
          <w:b/>
          <w:sz w:val="24"/>
        </w:rPr>
        <w:t>Board</w:t>
      </w:r>
      <w:r>
        <w:rPr/>
        <w:t>”</w:t>
      </w:r>
      <w:r>
        <w:rPr>
          <w:rFonts w:ascii="Times New Roman;serif" w:hAnsi="Times New Roman;serif"/>
          <w:b w:val="false"/>
          <w:sz w:val="24"/>
        </w:rPr>
        <w:t>), the Company shall grant you an option to purchase 1,106,131 shares of Common Stock in the Company at the fair market value on the date of grant (the “</w:t>
      </w:r>
      <w:r>
        <w:rPr>
          <w:rFonts w:ascii="Times New Roman;serif" w:hAnsi="Times New Roman;serif"/>
          <w:b/>
          <w:sz w:val="24"/>
        </w:rPr>
        <w:t>Grant</w:t>
      </w:r>
      <w:r>
        <w:rPr/>
        <w:t>”</w:t>
      </w:r>
      <w:r>
        <w:rPr>
          <w:rFonts w:ascii="Times New Roman;serif" w:hAnsi="Times New Roman;serif"/>
          <w:b w:val="false"/>
          <w:sz w:val="24"/>
        </w:rPr>
        <w:t>). The anticipated Grant will be governed by the terms and conditions of the Company’s applicable equity incentive plan (the “</w:t>
      </w:r>
      <w:r>
        <w:rPr>
          <w:rFonts w:ascii="Times New Roman;serif" w:hAnsi="Times New Roman;serif"/>
          <w:b/>
          <w:sz w:val="24"/>
        </w:rPr>
        <w:t>Plan</w:t>
      </w:r>
      <w:r>
        <w:rPr/>
        <w:t>”</w:t>
      </w:r>
      <w:r>
        <w:rPr>
          <w:rFonts w:ascii="Times New Roman;serif" w:hAnsi="Times New Roman;serif"/>
          <w:b w:val="false"/>
          <w:sz w:val="24"/>
        </w:rPr>
        <w:t>) and your grant agreement, and will include the following vesting schedule: 12/48ths of the total shares will vest on the one year anniversary of the vesting commencement date, and 1/48th of the total shares will vest each month thereafter on the same day of the month as the vesting commencement date (or if there is no corresponding day, on the last day of the month), subject to your Continuous Service (as defined in the Plan) as of each such date.</w:t>
      </w:r>
    </w:p>
    <w:p>
      <w:pPr>
        <w:pStyle w:val="TextBody"/>
        <w:spacing w:before="0" w:after="240"/>
        <w:jc w:val="both"/>
        <w:rPr>
          <w:rFonts w:ascii="Times New Roman" w:hAnsi="Times New Roman"/>
          <w:b/>
          <w:caps/>
          <w:sz w:val="24"/>
        </w:rPr>
      </w:pPr>
      <w:r>
        <w:rPr>
          <w:rFonts w:ascii="Times New Roman" w:hAnsi="Times New Roman"/>
          <w:b/>
          <w:caps/>
          <w:sz w:val="24"/>
        </w:rPr>
        <w:t>3.</w:t>
      </w:r>
    </w:p>
    <w:p>
      <w:pPr>
        <w:pStyle w:val="TextBody"/>
        <w:spacing w:before="0" w:after="240"/>
        <w:jc w:val="both"/>
        <w:rPr/>
      </w:pPr>
      <w:r>
        <w:rPr>
          <w:rFonts w:ascii="Times New Roman;serif" w:hAnsi="Times New Roman;serif"/>
          <w:b/>
          <w:sz w:val="24"/>
        </w:rPr>
        <w:t>Reasonable Business Expenses.</w:t>
      </w:r>
      <w:r>
        <w:rPr/>
        <w:t xml:space="preserve"> </w:t>
      </w:r>
      <w:r>
        <w:rPr>
          <w:rFonts w:ascii="Times New Roman;serif" w:hAnsi="Times New Roman;serif"/>
          <w:b w:val="false"/>
          <w:sz w:val="24"/>
        </w:rPr>
        <w:t>You will be eligible for reimbursement of all reasonable, necessary and documented out-of-pocket business, entertainment, lodging and travel expenses (including but not limited to the cost of weekly commercial airline travel to and from the Company’s office located in Dallas, Texas, and the cost of hotels or lodging when traveling for business under this Agreement) incurred by you in connection with the performance of your duties hereunder in accordance with the Company's expense reimbursement policies and procedures.</w:t>
      </w:r>
    </w:p>
    <w:p>
      <w:pPr>
        <w:pStyle w:val="TextBody"/>
        <w:spacing w:before="0" w:after="240"/>
        <w:jc w:val="both"/>
        <w:rPr>
          <w:rFonts w:ascii="Times New Roman" w:hAnsi="Times New Roman"/>
          <w:b/>
          <w:caps/>
          <w:sz w:val="24"/>
        </w:rPr>
      </w:pPr>
      <w:r>
        <w:rPr>
          <w:rFonts w:ascii="Times New Roman" w:hAnsi="Times New Roman"/>
          <w:b/>
          <w:caps/>
          <w:sz w:val="24"/>
        </w:rPr>
        <w:t>4.</w:t>
      </w:r>
    </w:p>
    <w:p>
      <w:pPr>
        <w:pStyle w:val="TextBody"/>
        <w:spacing w:before="0" w:after="240"/>
        <w:jc w:val="both"/>
        <w:rPr/>
      </w:pPr>
      <w:r>
        <w:rPr>
          <w:rFonts w:ascii="Times New Roman;serif" w:hAnsi="Times New Roman;serif"/>
          <w:b/>
          <w:sz w:val="24"/>
        </w:rPr>
        <w:t>Company Policies; Standard Company Benefits</w:t>
      </w:r>
      <w:r>
        <w:rPr>
          <w:rFonts w:ascii="Times New Roman;serif" w:hAnsi="Times New Roman;serif"/>
          <w:b w:val="false"/>
          <w:sz w:val="24"/>
        </w:rPr>
        <w:t xml:space="preserve">. The employment relationship between the parties shall be governed by the general employment policies and practices of the Company, except that when the terms of this Agreement differ from or are in conflict with the Company’s general employment policies or practices, this Agreement shall control. You shall be entitled to participate in all employee benefit programs for which you are eligible under the terms and conditions of the benefit plans that may be in effect from time to time and provided by the Company to its employees. The Company reserves the right to cancel or change the benefit plans or programs it offers to its employees at any time. </w:t>
      </w:r>
    </w:p>
    <w:p>
      <w:pPr>
        <w:pStyle w:val="TextBody"/>
        <w:spacing w:before="0" w:after="240"/>
        <w:jc w:val="both"/>
        <w:rPr>
          <w:rFonts w:ascii="Times New Roman" w:hAnsi="Times New Roman"/>
          <w:b/>
          <w:caps/>
          <w:sz w:val="24"/>
        </w:rPr>
      </w:pPr>
      <w:r>
        <w:rPr>
          <w:rFonts w:ascii="Times New Roman" w:hAnsi="Times New Roman"/>
          <w:b/>
          <w:caps/>
          <w:sz w:val="24"/>
        </w:rPr>
        <w:t>5.</w:t>
      </w:r>
    </w:p>
    <w:p>
      <w:pPr>
        <w:pStyle w:val="TextBody"/>
        <w:spacing w:before="0" w:after="240"/>
        <w:jc w:val="both"/>
        <w:rPr/>
      </w:pPr>
      <w:r>
        <w:rPr>
          <w:rFonts w:ascii="Times New Roman;serif" w:hAnsi="Times New Roman;serif"/>
          <w:b/>
          <w:sz w:val="24"/>
        </w:rPr>
        <w:t>At-Will Employment.</w:t>
      </w:r>
      <w:r>
        <w:rPr/>
        <w:t xml:space="preserve"> </w:t>
      </w:r>
      <w:r>
        <w:rPr>
          <w:rFonts w:ascii="Times New Roman;serif" w:hAnsi="Times New Roman;serif"/>
          <w:b w:val="false"/>
          <w:sz w:val="24"/>
        </w:rPr>
        <w:t>Your employment relationship is at-will. Either you or the Company may terminate the employment relationship at any time, with or without cause or advance notice. Upon termination of your employment for any reason, you shall resign from all positions and terminate any relationships as an employee, advisor, officer or director with the Company and any of its affiliates, each effective on the date of termination.</w:t>
      </w:r>
      <w:r>
        <w:rPr/>
        <w:t xml:space="preserve"> </w:t>
      </w:r>
    </w:p>
    <w:p>
      <w:pPr>
        <w:pStyle w:val="TextBody"/>
        <w:spacing w:before="0" w:after="240"/>
        <w:jc w:val="both"/>
        <w:rPr>
          <w:rFonts w:ascii="Times New Roman" w:hAnsi="Times New Roman"/>
          <w:b/>
          <w:caps/>
          <w:sz w:val="24"/>
        </w:rPr>
      </w:pPr>
      <w:r>
        <w:rPr>
          <w:rFonts w:ascii="Times New Roman" w:hAnsi="Times New Roman"/>
          <w:b/>
          <w:caps/>
          <w:sz w:val="24"/>
        </w:rPr>
        <w:t>6.</w:t>
      </w:r>
    </w:p>
    <w:p>
      <w:pPr>
        <w:pStyle w:val="TextBody"/>
        <w:spacing w:before="0" w:after="240"/>
        <w:jc w:val="both"/>
        <w:rPr/>
      </w:pPr>
      <w:r>
        <w:rPr>
          <w:rFonts w:ascii="Times New Roman;serif" w:hAnsi="Times New Roman;serif"/>
          <w:b/>
          <w:sz w:val="24"/>
        </w:rPr>
        <w:t>Outside Activities During Employment.</w:t>
      </w:r>
      <w:r>
        <w:rPr/>
        <w:t xml:space="preserve"> </w:t>
      </w:r>
      <w:r>
        <w:rPr>
          <w:rFonts w:ascii="Times New Roman;serif" w:hAnsi="Times New Roman;serif"/>
          <w:b w:val="false"/>
          <w:sz w:val="24"/>
        </w:rPr>
        <w:t xml:space="preserve">Except with the prior written consent of the Board, you will not during the term of your employment with the Company undertake or engage in any other employment, occupation or business enterprise, other than ones in which you are a passive investor. You may engage in civic and not-for-profit activities so long as such activities do not create a conflict of interest or materially interfere with the performance of your duties hereunder. You agree not to acquire, assume or participate in, directly or indirectly, any position, investment or interest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278842415 v5</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pPr>
      <w:r>
        <w:rPr>
          <w:rFonts w:ascii="Times New Roman;serif" w:hAnsi="Times New Roman;serif"/>
          <w:b w:val="false"/>
          <w:sz w:val="24"/>
        </w:rPr>
        <w:t xml:space="preserve">known to be adverse or antagonistic to the Company, its business or prospects, financial or otherwise. Notwithstanding the foregoing, the Company acknowledges and consents to your involvement with the business and charitable activities set forth on the attached </w:t>
      </w:r>
      <w:r>
        <w:rPr>
          <w:rFonts w:ascii="Times New Roman;serif" w:hAnsi="Times New Roman;serif"/>
          <w:b/>
          <w:sz w:val="24"/>
          <w:u w:val="single"/>
        </w:rPr>
        <w:t>Exhibit A.</w:t>
      </w:r>
    </w:p>
    <w:p>
      <w:pPr>
        <w:pStyle w:val="TextBody"/>
        <w:spacing w:before="0" w:after="240"/>
        <w:jc w:val="both"/>
        <w:rPr>
          <w:rFonts w:ascii="Times New Roman" w:hAnsi="Times New Roman"/>
          <w:b/>
          <w:caps/>
          <w:sz w:val="24"/>
        </w:rPr>
      </w:pPr>
      <w:r>
        <w:rPr>
          <w:rFonts w:ascii="Times New Roman" w:hAnsi="Times New Roman"/>
          <w:b/>
          <w:caps/>
          <w:sz w:val="24"/>
        </w:rPr>
        <w:t>7.</w:t>
      </w:r>
    </w:p>
    <w:p>
      <w:pPr>
        <w:pStyle w:val="TextBody"/>
        <w:spacing w:before="0" w:after="240"/>
        <w:jc w:val="both"/>
        <w:rPr>
          <w:rFonts w:ascii="Times New Roman;serif" w:hAnsi="Times New Roman;serif"/>
          <w:b/>
          <w:sz w:val="24"/>
        </w:rPr>
      </w:pPr>
      <w:r>
        <w:rPr>
          <w:rFonts w:ascii="Times New Roman;serif" w:hAnsi="Times New Roman;serif"/>
          <w:b/>
          <w:sz w:val="24"/>
        </w:rPr>
        <w:t>Termination; Severance.</w:t>
      </w:r>
    </w:p>
    <w:p>
      <w:pPr>
        <w:pStyle w:val="TextBody"/>
        <w:spacing w:before="0" w:after="240"/>
        <w:jc w:val="both"/>
        <w:rPr>
          <w:rFonts w:ascii="Times New Roman" w:hAnsi="Times New Roman"/>
          <w:b/>
          <w:sz w:val="24"/>
        </w:rPr>
      </w:pPr>
      <w:r>
        <w:rPr>
          <w:rFonts w:ascii="Times New Roman" w:hAnsi="Times New Roman"/>
          <w:b/>
          <w:sz w:val="24"/>
        </w:rPr>
        <w:t>7.1</w:t>
      </w:r>
    </w:p>
    <w:p>
      <w:pPr>
        <w:pStyle w:val="TextBody"/>
        <w:spacing w:before="0" w:after="240"/>
        <w:jc w:val="both"/>
        <w:rPr/>
      </w:pPr>
      <w:r>
        <w:rPr>
          <w:rFonts w:ascii="Times New Roman;serif" w:hAnsi="Times New Roman;serif"/>
          <w:b/>
          <w:sz w:val="24"/>
        </w:rPr>
        <w:t>Compensation upon Termination.</w:t>
      </w:r>
      <w:r>
        <w:rPr/>
        <w:t xml:space="preserve"> </w:t>
      </w:r>
      <w:r>
        <w:rPr>
          <w:rFonts w:ascii="Times New Roman;serif" w:hAnsi="Times New Roman;serif"/>
          <w:b w:val="false"/>
          <w:sz w:val="24"/>
        </w:rPr>
        <w:t>Upon the termination of your employment for any reason, the Company shall pay you all of your accrued and unpaid wages earned through your last day of employment (the “</w:t>
      </w:r>
      <w:r>
        <w:rPr>
          <w:rFonts w:ascii="Times New Roman;serif" w:hAnsi="Times New Roman;serif"/>
          <w:b/>
          <w:sz w:val="24"/>
        </w:rPr>
        <w:t>Separation Date</w:t>
      </w:r>
      <w:r>
        <w:rPr/>
        <w:t>”</w:t>
      </w:r>
      <w:r>
        <w:rPr>
          <w:rFonts w:ascii="Times New Roman;serif" w:hAnsi="Times New Roman;serif"/>
          <w:b w:val="false"/>
          <w:sz w:val="24"/>
        </w:rPr>
        <w:t>).</w:t>
      </w:r>
    </w:p>
    <w:p>
      <w:pPr>
        <w:pStyle w:val="TextBody"/>
        <w:spacing w:before="0" w:after="240"/>
        <w:jc w:val="both"/>
        <w:rPr>
          <w:rFonts w:ascii="Times New Roman" w:hAnsi="Times New Roman"/>
          <w:b/>
          <w:sz w:val="24"/>
        </w:rPr>
      </w:pPr>
      <w:r>
        <w:rPr>
          <w:rFonts w:ascii="Times New Roman" w:hAnsi="Times New Roman"/>
          <w:b/>
          <w:sz w:val="24"/>
        </w:rPr>
        <w:t>7.2</w:t>
      </w:r>
    </w:p>
    <w:p>
      <w:pPr>
        <w:pStyle w:val="TextBody"/>
        <w:spacing w:before="0" w:after="240"/>
        <w:jc w:val="both"/>
        <w:rPr/>
      </w:pPr>
      <w:r>
        <w:rPr>
          <w:rFonts w:ascii="Times New Roman;serif" w:hAnsi="Times New Roman;serif"/>
          <w:b/>
          <w:sz w:val="24"/>
        </w:rPr>
        <w:t xml:space="preserve">Involuntary Termination. </w:t>
      </w:r>
      <w:r>
        <w:rPr>
          <w:rFonts w:ascii="Times New Roman;serif" w:hAnsi="Times New Roman;serif"/>
          <w:b w:val="false"/>
          <w:sz w:val="24"/>
        </w:rPr>
        <w:t>If you are subject to an Involuntary Termination (as defined below) and provided that you remain in compliance with the terms of this Agreement (including the conditions described in Section 7.4 below), the Company shall provide you with the following benefits (the “</w:t>
      </w:r>
      <w:r>
        <w:rPr>
          <w:rFonts w:ascii="Times New Roman;serif" w:hAnsi="Times New Roman;serif"/>
          <w:b/>
          <w:sz w:val="24"/>
        </w:rPr>
        <w:t>Severance Benefits</w:t>
      </w:r>
      <w:r>
        <w:rPr/>
        <w:t>”</w:t>
      </w:r>
      <w:r>
        <w:rPr>
          <w:rFonts w:ascii="Times New Roman;serif" w:hAnsi="Times New Roman;serif"/>
          <w:b w:val="false"/>
          <w:sz w:val="24"/>
        </w:rPr>
        <w:t xml:space="preserve">): </w:t>
      </w:r>
    </w:p>
    <w:p>
      <w:pPr>
        <w:pStyle w:val="TextBody"/>
        <w:spacing w:before="0" w:after="240"/>
        <w:jc w:val="both"/>
        <w:rPr>
          <w:rFonts w:ascii="Times New Roman" w:hAnsi="Times New Roman"/>
          <w:b/>
          <w:sz w:val="24"/>
        </w:rPr>
      </w:pPr>
      <w:r>
        <w:rPr>
          <w:rFonts w:ascii="Times New Roman" w:hAnsi="Times New Roman"/>
          <w:b/>
          <w:sz w:val="24"/>
        </w:rPr>
        <w:t>(a)</w:t>
      </w:r>
    </w:p>
    <w:p>
      <w:pPr>
        <w:pStyle w:val="TextBody"/>
        <w:spacing w:before="0" w:after="240"/>
        <w:jc w:val="both"/>
        <w:rPr/>
      </w:pPr>
      <w:r>
        <w:rPr>
          <w:rFonts w:ascii="Times New Roman;serif" w:hAnsi="Times New Roman;serif"/>
          <w:b/>
          <w:sz w:val="24"/>
        </w:rPr>
        <w:t xml:space="preserve">Cash Severance. </w:t>
      </w:r>
      <w:r>
        <w:rPr>
          <w:rFonts w:ascii="Times New Roman;serif" w:hAnsi="Times New Roman;serif"/>
          <w:b w:val="false"/>
          <w:sz w:val="24"/>
        </w:rPr>
        <w:t>The Company shall pay you, as severance, the equivalent of twelve (12) months (the “</w:t>
      </w:r>
      <w:r>
        <w:rPr>
          <w:rFonts w:ascii="Times New Roman;serif" w:hAnsi="Times New Roman;serif"/>
          <w:b/>
          <w:sz w:val="24"/>
        </w:rPr>
        <w:t>Severance Period</w:t>
      </w:r>
      <w:r>
        <w:rPr/>
        <w:t>”</w:t>
      </w:r>
      <w:r>
        <w:rPr>
          <w:rFonts w:ascii="Times New Roman;serif" w:hAnsi="Times New Roman;serif"/>
          <w:b w:val="false"/>
          <w:sz w:val="24"/>
        </w:rPr>
        <w:t>) of your Base Salary in effect as of the Separation Date, subject to standard payroll deductions and withholdings (the “</w:t>
      </w:r>
      <w:r>
        <w:rPr>
          <w:rFonts w:ascii="Times New Roman;serif" w:hAnsi="Times New Roman;serif"/>
          <w:b/>
          <w:sz w:val="24"/>
        </w:rPr>
        <w:t>Severance</w:t>
      </w:r>
      <w:r>
        <w:rPr/>
        <w:t>”</w:t>
      </w:r>
      <w:r>
        <w:rPr>
          <w:rFonts w:ascii="Times New Roman;serif" w:hAnsi="Times New Roman;serif"/>
          <w:b w:val="false"/>
          <w:sz w:val="24"/>
        </w:rPr>
        <w:t>). The Severance will be paid as a continuation on the Company’s regular payroll, beginning no later than the first regularly-scheduled payroll date following the sixtieth (60</w:t>
      </w:r>
      <w:r>
        <w:rPr>
          <w:rFonts w:ascii="Times New Roman;serif" w:hAnsi="Times New Roman;serif"/>
          <w:b w:val="false"/>
          <w:sz w:val="16"/>
        </w:rPr>
        <w:t>th</w:t>
      </w:r>
      <w:r>
        <w:rPr>
          <w:rFonts w:ascii="Times New Roman;serif" w:hAnsi="Times New Roman;serif"/>
          <w:b w:val="false"/>
          <w:sz w:val="24"/>
        </w:rPr>
        <w:t>) day after your Separation from Service, provided the Separation Agreement (as discussed in Section 8.4) has become effective.</w:t>
      </w:r>
    </w:p>
    <w:p>
      <w:pPr>
        <w:pStyle w:val="TextBody"/>
        <w:spacing w:before="0" w:after="240"/>
        <w:jc w:val="both"/>
        <w:rPr>
          <w:rFonts w:ascii="Times New Roman" w:hAnsi="Times New Roman"/>
          <w:b/>
          <w:sz w:val="24"/>
        </w:rPr>
      </w:pPr>
      <w:r>
        <w:rPr>
          <w:rFonts w:ascii="Times New Roman" w:hAnsi="Times New Roman"/>
          <w:b/>
          <w:sz w:val="24"/>
        </w:rPr>
        <w:t>(b)</w:t>
      </w:r>
    </w:p>
    <w:p>
      <w:pPr>
        <w:pStyle w:val="TextBody"/>
        <w:spacing w:before="0" w:after="240"/>
        <w:jc w:val="both"/>
        <w:rPr/>
      </w:pPr>
      <w:r>
        <w:rPr>
          <w:rFonts w:ascii="Times New Roman;serif" w:hAnsi="Times New Roman;serif"/>
          <w:b/>
          <w:sz w:val="24"/>
        </w:rPr>
        <w:t xml:space="preserve">Payment of Continued Group Health Plan Benefits. </w:t>
      </w:r>
      <w:r>
        <w:rPr>
          <w:rFonts w:ascii="Times New Roman;serif" w:hAnsi="Times New Roman;serif"/>
          <w:b w:val="false"/>
          <w:sz w:val="24"/>
        </w:rPr>
        <w:t>If you are eligible for and timely elect continued group health plan coverage under the Consolidated Omnibus Budget Reconciliation Act of 1985 or any state law of similar effect (“</w:t>
      </w:r>
      <w:r>
        <w:rPr>
          <w:rFonts w:ascii="Times New Roman;serif" w:hAnsi="Times New Roman;serif"/>
          <w:b/>
          <w:sz w:val="24"/>
        </w:rPr>
        <w:t>COBRA</w:t>
      </w:r>
      <w:r>
        <w:rPr/>
        <w:t>”</w:t>
      </w:r>
      <w:r>
        <w:rPr>
          <w:rFonts w:ascii="Times New Roman;serif" w:hAnsi="Times New Roman;serif"/>
          <w:b w:val="false"/>
          <w:sz w:val="24"/>
        </w:rPr>
        <w:t>) following your Involuntary Termination, the Company will (in the Company’s election) either pay directly or reimburse you for your COBRA group health insurance premiums for you and your eligible dependents directly to the insurer until the earliest of (A) twelve (12) months after the date of your Involuntary Termination, (B) the expiration of your eligibility for continuation coverage under COBRA, or (C) the date when you become eligible for substantially equivalent health insurance coverage in connection with new employment or self-employment (the “</w:t>
      </w:r>
      <w:r>
        <w:rPr>
          <w:rFonts w:ascii="Times New Roman;serif" w:hAnsi="Times New Roman;serif"/>
          <w:b/>
          <w:sz w:val="24"/>
        </w:rPr>
        <w:t>COBRA Payment Period</w:t>
      </w:r>
      <w:r>
        <w:rPr/>
        <w:t>”</w:t>
      </w:r>
      <w:r>
        <w:rPr>
          <w:rFonts w:ascii="Times New Roman;serif" w:hAnsi="Times New Roman;serif"/>
          <w:b w:val="false"/>
          <w:sz w:val="24"/>
        </w:rPr>
        <w: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COBRA Payment Period, a fully taxable cash payment equal to the COBRA premiums for that month, subject to applicable tax withholdings (such amount, the “</w:t>
      </w:r>
      <w:r>
        <w:rPr>
          <w:rFonts w:ascii="Times New Roman;serif" w:hAnsi="Times New Roman;serif"/>
          <w:b/>
          <w:sz w:val="24"/>
        </w:rPr>
        <w:t>Special Severance Payment</w:t>
      </w:r>
      <w:r>
        <w:rPr/>
        <w:t>”</w:t>
      </w:r>
      <w:r>
        <w:rPr>
          <w:rFonts w:ascii="Times New Roman;serif" w:hAnsi="Times New Roman;serif"/>
          <w:b w:val="false"/>
          <w:sz w:val="24"/>
        </w:rPr>
        <w:t>). No payments of any COBRA premiums will be made until after the effectiveness of the Separation Agreement, and at such time the Company will make pay or reimburse the aggregate amount of payments that the Company would have paid through such date had such payments instead commenced on the Separation Date,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278842415 v5</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rFonts w:ascii="Times New Roman" w:hAnsi="Times New Roman"/>
          <w:b/>
          <w:sz w:val="24"/>
        </w:rPr>
      </w:pPr>
      <w:r>
        <w:rPr>
          <w:rFonts w:ascii="Times New Roman" w:hAnsi="Times New Roman"/>
          <w:b/>
          <w:sz w:val="24"/>
        </w:rPr>
        <w:t>7.3</w:t>
      </w:r>
    </w:p>
    <w:p>
      <w:pPr>
        <w:pStyle w:val="TextBody"/>
        <w:spacing w:before="0" w:after="240"/>
        <w:jc w:val="both"/>
        <w:rPr/>
      </w:pPr>
      <w:r>
        <w:rPr>
          <w:rFonts w:ascii="Times New Roman;serif" w:hAnsi="Times New Roman;serif"/>
          <w:b/>
          <w:sz w:val="24"/>
        </w:rPr>
        <w:t>Involuntary Termination in Connection with a Change in Control.</w:t>
      </w:r>
      <w:r>
        <w:rPr/>
        <w:t xml:space="preserve"> </w:t>
      </w:r>
      <w:r>
        <w:rPr>
          <w:rFonts w:ascii="Times New Roman;serif" w:hAnsi="Times New Roman;serif"/>
          <w:b w:val="false"/>
          <w:sz w:val="24"/>
        </w:rPr>
        <w:t>You will be eligible to participate in the Company's Change in Control Severance Plan, if such a plan is implemented, pursuant to the terms and conditions of such plan. For the avoidance of doubt, under no circumstances will you be entitled to receive the severance benefits set forth under Section 7.2 herein in addition to severance benefits under the Change in Control Severance Plan.</w:t>
      </w:r>
    </w:p>
    <w:p>
      <w:pPr>
        <w:pStyle w:val="TextBody"/>
        <w:spacing w:before="0" w:after="240"/>
        <w:jc w:val="both"/>
        <w:rPr>
          <w:rFonts w:ascii="Times New Roman" w:hAnsi="Times New Roman"/>
          <w:b/>
          <w:sz w:val="24"/>
        </w:rPr>
      </w:pPr>
      <w:r>
        <w:rPr>
          <w:rFonts w:ascii="Times New Roman" w:hAnsi="Times New Roman"/>
          <w:b/>
          <w:sz w:val="24"/>
        </w:rPr>
        <w:t>7.4</w:t>
      </w:r>
    </w:p>
    <w:p>
      <w:pPr>
        <w:pStyle w:val="TextBody"/>
        <w:spacing w:before="0" w:after="240"/>
        <w:jc w:val="both"/>
        <w:rPr/>
      </w:pPr>
      <w:r>
        <w:rPr>
          <w:rFonts w:ascii="Times New Roman;serif" w:hAnsi="Times New Roman;serif"/>
          <w:b/>
          <w:sz w:val="24"/>
        </w:rPr>
        <w:t xml:space="preserve">Termination for Cause; Resignation Without Good Reason; Death or Disability. </w:t>
      </w:r>
      <w:r>
        <w:rPr>
          <w:rFonts w:ascii="Times New Roman;serif" w:hAnsi="Times New Roman;serif"/>
          <w:b w:val="false"/>
          <w:sz w:val="24"/>
        </w:rPr>
        <w:t>If you resign your employment without Good Reason, the Company terminates your employment for Cause, your employment terminates for any other reason not constituting an Involuntary Termination, or upon dissolution or cessation of the Company, or upon your death or disability, then (a) you will no longer vest in the Grant, (b) all payments of compensation by the Company to you hereunder will terminate immediately (except as to amounts already earned), and (c) you will not be entitled to any Severance Benefits.</w:t>
      </w:r>
    </w:p>
    <w:p>
      <w:pPr>
        <w:pStyle w:val="TextBody"/>
        <w:spacing w:before="0" w:after="240"/>
        <w:jc w:val="both"/>
        <w:rPr>
          <w:rFonts w:ascii="Times New Roman" w:hAnsi="Times New Roman"/>
          <w:b/>
          <w:sz w:val="24"/>
        </w:rPr>
      </w:pPr>
      <w:r>
        <w:rPr>
          <w:rFonts w:ascii="Times New Roman" w:hAnsi="Times New Roman"/>
          <w:b/>
          <w:sz w:val="24"/>
        </w:rPr>
        <w:t>7.5</w:t>
      </w:r>
    </w:p>
    <w:p>
      <w:pPr>
        <w:pStyle w:val="TextBody"/>
        <w:spacing w:before="0" w:after="240"/>
        <w:jc w:val="both"/>
        <w:rPr/>
      </w:pPr>
      <w:r>
        <w:rPr>
          <w:rFonts w:ascii="Times New Roman;serif" w:hAnsi="Times New Roman;serif"/>
          <w:b/>
          <w:sz w:val="24"/>
        </w:rPr>
        <w:t xml:space="preserve">Conditions to Receipt of Severance Benefits. </w:t>
      </w:r>
      <w:r>
        <w:rPr>
          <w:rFonts w:ascii="Times New Roman;serif" w:hAnsi="Times New Roman;serif"/>
          <w:b w:val="false"/>
          <w:sz w:val="24"/>
        </w:rPr>
        <w:t>The receipt of the Severance Benefits will be subject to you signing and not revoking a separation agreement and general mutual release of claims in a form reasonably satisfactory to the Company (the “</w:t>
      </w:r>
      <w:r>
        <w:rPr>
          <w:rFonts w:ascii="Times New Roman;serif" w:hAnsi="Times New Roman;serif"/>
          <w:b/>
          <w:sz w:val="24"/>
        </w:rPr>
        <w:t>Separation Agreement</w:t>
      </w:r>
      <w:r>
        <w:rPr/>
        <w:t>”</w:t>
      </w:r>
      <w:r>
        <w:rPr>
          <w:rFonts w:ascii="Times New Roman;serif" w:hAnsi="Times New Roman;serif"/>
          <w:b w:val="false"/>
          <w:sz w:val="24"/>
        </w:rPr>
        <w:t>) by no later than the sixtieth (60th) day after the Separation Date (“</w:t>
      </w:r>
      <w:r>
        <w:rPr>
          <w:rFonts w:ascii="Times New Roman;serif" w:hAnsi="Times New Roman;serif"/>
          <w:b/>
          <w:sz w:val="24"/>
        </w:rPr>
        <w:t>Release Deadline</w:t>
      </w:r>
      <w:r>
        <w:rPr/>
        <w:t>”</w:t>
      </w:r>
      <w:r>
        <w:rPr>
          <w:rFonts w:ascii="Times New Roman;serif" w:hAnsi="Times New Roman;serif"/>
          <w:b w:val="false"/>
          <w:sz w:val="24"/>
        </w:rPr>
        <w:t>), provided however that, the Company’s release of claims is not required to include a release or waiver of any rights or claims arising out of your obligations to protect and not to disclose or make unauthorized use of any confidential or proprietary information, including but not limited to claims under the Uniform Trade Secret Act or any confidentiality agreement between you and the Company, or any claims (whether direct or for indemnification or contribution) arising from your willful misconduct, fraud, embezzlement, conversion of any Company asset or business opportunity, material violation of law, or breach of any fiduciary duty owed to the Company. No Severance Benefits will be owed, paid or provided until the Separation Agreement becomes effective. You shall also resign from all positions and terminate any relationships as an employee, advisor, officer or director with the Company and any of its affiliates, each effective on the Separation Date.</w:t>
      </w:r>
    </w:p>
    <w:p>
      <w:pPr>
        <w:pStyle w:val="TextBody"/>
        <w:spacing w:before="0" w:after="240"/>
        <w:jc w:val="both"/>
        <w:rPr>
          <w:rFonts w:ascii="Times New Roman" w:hAnsi="Times New Roman"/>
          <w:b/>
          <w:caps/>
          <w:sz w:val="24"/>
        </w:rPr>
      </w:pPr>
      <w:r>
        <w:rPr>
          <w:rFonts w:ascii="Times New Roman" w:hAnsi="Times New Roman"/>
          <w:b/>
          <w:caps/>
          <w:sz w:val="24"/>
        </w:rPr>
        <w:t>8.</w:t>
      </w:r>
    </w:p>
    <w:p>
      <w:pPr>
        <w:pStyle w:val="TextBody"/>
        <w:spacing w:before="0" w:after="240"/>
        <w:jc w:val="both"/>
        <w:rPr>
          <w:rFonts w:ascii="Times New Roman;serif" w:hAnsi="Times New Roman;serif"/>
          <w:b/>
          <w:sz w:val="24"/>
        </w:rPr>
      </w:pPr>
      <w:r>
        <w:rPr>
          <w:rFonts w:ascii="Times New Roman;serif" w:hAnsi="Times New Roman;serif"/>
          <w:b/>
          <w:sz w:val="24"/>
        </w:rPr>
        <w:t xml:space="preserve">Definitions. </w:t>
      </w:r>
    </w:p>
    <w:p>
      <w:pPr>
        <w:pStyle w:val="TextBody"/>
        <w:spacing w:before="0" w:after="240"/>
        <w:jc w:val="both"/>
        <w:rPr>
          <w:rFonts w:ascii="Times New Roman" w:hAnsi="Times New Roman"/>
          <w:b/>
          <w:sz w:val="24"/>
        </w:rPr>
      </w:pPr>
      <w:r>
        <w:rPr>
          <w:rFonts w:ascii="Times New Roman" w:hAnsi="Times New Roman"/>
          <w:b/>
          <w:sz w:val="24"/>
        </w:rPr>
        <w:t>8.1</w:t>
      </w:r>
    </w:p>
    <w:p>
      <w:pPr>
        <w:pStyle w:val="TextBody"/>
        <w:spacing w:before="0" w:after="240"/>
        <w:jc w:val="both"/>
        <w:rPr/>
      </w:pPr>
      <w:r>
        <w:rPr>
          <w:rFonts w:ascii="Times New Roman;serif" w:hAnsi="Times New Roman;serif"/>
          <w:b/>
          <w:sz w:val="24"/>
        </w:rPr>
        <w:t>Cause.</w:t>
      </w:r>
      <w:r>
        <w:rPr/>
        <w:t xml:space="preserve"> </w:t>
      </w:r>
      <w:r>
        <w:rPr>
          <w:rFonts w:ascii="Times New Roman;serif" w:hAnsi="Times New Roman;serif"/>
          <w:b w:val="false"/>
          <w:sz w:val="24"/>
        </w:rPr>
        <w:t>For purposes of this Agreement, “</w:t>
      </w:r>
      <w:r>
        <w:rPr>
          <w:rFonts w:ascii="Times New Roman;serif" w:hAnsi="Times New Roman;serif"/>
          <w:b/>
          <w:sz w:val="24"/>
        </w:rPr>
        <w:t>Cause</w:t>
      </w:r>
      <w:r>
        <w:rPr/>
        <w:t xml:space="preserve">” </w:t>
      </w:r>
      <w:r>
        <w:rPr>
          <w:rFonts w:ascii="Times New Roman;serif" w:hAnsi="Times New Roman;serif"/>
          <w:b w:val="false"/>
          <w:sz w:val="24"/>
        </w:rPr>
        <w:t xml:space="preserve">shall mean any one or more of the following: (i) your willful or deliberate failure to perform your duties or gross negligence in the performance of your duties that remains uncured (if deemed curable by the Company) 30 days after a written demand is delivered to you that specifically identifies the manner in which the Board believes that you have engaged in such conduct under this Section 8.1(i), (ii) your breach of a material term or representation of this Agreement that remains uncured (if deemed curable by the Company) 30 days after a written demand is delivered to you that specifically identifies the manner in which the Board believes that you have engaged in such conduct under this Section 8.1(ii), (iii) your material dishonesty, willful misconduct or fraud in connection with your provision of services to the Company, the performance of your duties, or in any way related to the business of the Company, (iv) your conviction or a plea of </w:t>
      </w:r>
      <w:r>
        <w:rPr>
          <w:rFonts w:ascii="Times New Roman;serif" w:hAnsi="Times New Roman;serif"/>
          <w:b w:val="false"/>
          <w:i/>
          <w:sz w:val="24"/>
        </w:rPr>
        <w:t xml:space="preserve">nolo contendere </w:t>
      </w:r>
      <w:r>
        <w:rPr>
          <w:rFonts w:ascii="Times New Roman;serif" w:hAnsi="Times New Roman;serif"/>
          <w:b w:val="false"/>
          <w:sz w:val="24"/>
        </w:rPr>
        <w:t xml:space="preserve">(or the equivalent) to a felony or any crime involving moral turpitude, (v) your engaging in conduct materially injurious to the business, reputation or goodwill of the Company that remains uncured (if deemed curable by the Company) 30 days after a written demand is delivered to you that specifically identifies the manner in which the Board believes that you have engaged in such conduct under this Section 8.1(v), or (vi) your material violation of applicable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278842415 v5</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policies, practices and standards of behavior of which you have been made aware that remains uncured (if deemed curable by the Company) 30 days after a written demand is delivered to you that specifically identifies the manner in which the Board believes that you have engaged in such conduct under this Section 8.1(vi).</w:t>
      </w:r>
    </w:p>
    <w:p>
      <w:pPr>
        <w:pStyle w:val="TextBody"/>
        <w:spacing w:before="0" w:after="240"/>
        <w:jc w:val="both"/>
        <w:rPr>
          <w:rFonts w:ascii="Times New Roman" w:hAnsi="Times New Roman"/>
          <w:b/>
          <w:sz w:val="24"/>
        </w:rPr>
      </w:pPr>
      <w:r>
        <w:rPr>
          <w:rFonts w:ascii="Times New Roman" w:hAnsi="Times New Roman"/>
          <w:b/>
          <w:sz w:val="24"/>
        </w:rPr>
        <w:t>8.2</w:t>
      </w:r>
    </w:p>
    <w:p>
      <w:pPr>
        <w:pStyle w:val="TextBody"/>
        <w:spacing w:before="0" w:after="240"/>
        <w:jc w:val="both"/>
        <w:rPr/>
      </w:pPr>
      <w:r>
        <w:rPr>
          <w:rFonts w:ascii="Times New Roman;serif" w:hAnsi="Times New Roman;serif"/>
          <w:b/>
          <w:sz w:val="24"/>
        </w:rPr>
        <w:t xml:space="preserve">Code. </w:t>
      </w:r>
      <w:r>
        <w:rPr>
          <w:rFonts w:ascii="Times New Roman;serif" w:hAnsi="Times New Roman;serif"/>
          <w:b w:val="false"/>
          <w:sz w:val="24"/>
        </w:rPr>
        <w:t xml:space="preserve">For purposes of this Agreement, </w:t>
      </w:r>
      <w:r>
        <w:rPr/>
        <w:t>“</w:t>
      </w:r>
      <w:r>
        <w:rPr>
          <w:rFonts w:ascii="Times New Roman;serif" w:hAnsi="Times New Roman;serif"/>
          <w:b/>
          <w:sz w:val="24"/>
        </w:rPr>
        <w:t xml:space="preserve">Code” </w:t>
      </w:r>
      <w:r>
        <w:rPr>
          <w:rFonts w:ascii="Times New Roman;serif" w:hAnsi="Times New Roman;serif"/>
          <w:b w:val="false"/>
          <w:sz w:val="24"/>
        </w:rPr>
        <w:t>means the U.S. Internal Revenue Code of 1986 (as it has been and may be amended from time to time) and any regulations and guidance that has been promulgated or may be promulgated from time to time thereunder and any state law of similar effect.</w:t>
      </w:r>
    </w:p>
    <w:p>
      <w:pPr>
        <w:pStyle w:val="TextBody"/>
        <w:spacing w:before="0" w:after="240"/>
        <w:jc w:val="both"/>
        <w:rPr>
          <w:rFonts w:ascii="Times New Roman" w:hAnsi="Times New Roman"/>
          <w:b/>
          <w:sz w:val="24"/>
        </w:rPr>
      </w:pPr>
      <w:r>
        <w:rPr>
          <w:rFonts w:ascii="Times New Roman" w:hAnsi="Times New Roman"/>
          <w:b/>
          <w:sz w:val="24"/>
        </w:rPr>
        <w:t>8.3</w:t>
      </w:r>
    </w:p>
    <w:p>
      <w:pPr>
        <w:pStyle w:val="TextBody"/>
        <w:spacing w:before="0" w:after="240"/>
        <w:jc w:val="both"/>
        <w:rPr/>
      </w:pPr>
      <w:r>
        <w:rPr>
          <w:rFonts w:ascii="Times New Roman;serif" w:hAnsi="Times New Roman;serif"/>
          <w:b/>
          <w:sz w:val="24"/>
        </w:rPr>
        <w:t xml:space="preserve">Good Reason. </w:t>
      </w:r>
      <w:r>
        <w:rPr>
          <w:rFonts w:ascii="Times New Roman;serif" w:hAnsi="Times New Roman;serif"/>
          <w:b w:val="false"/>
          <w:sz w:val="24"/>
        </w:rPr>
        <w:t>For purposes of this Agreement, you shall have “</w:t>
      </w:r>
      <w:r>
        <w:rPr>
          <w:rFonts w:ascii="Times New Roman;serif" w:hAnsi="Times New Roman;serif"/>
          <w:b/>
          <w:sz w:val="24"/>
        </w:rPr>
        <w:t>Good Reason</w:t>
      </w:r>
      <w:r>
        <w:rPr/>
        <w:t xml:space="preserve">” </w:t>
      </w:r>
      <w:r>
        <w:rPr>
          <w:rFonts w:ascii="Times New Roman;serif" w:hAnsi="Times New Roman;serif"/>
          <w:b w:val="false"/>
          <w:sz w:val="24"/>
        </w:rPr>
        <w:t>for resignation from employment with the Company if any of the following actions are taken by the Company without your prior written consent: (a) a material reduction in your Base Salary or Annual Bonus opportunity, which the parties agree is a reduction of at least 10% of either of the foregoing (unless pursuant to a salary reduction program applicable generally to the Company’s similarly situated employees); (b) a material reduction in your duties (including responsibilities and/or authorities); (c) a material breach by the Company of this Agreement or any other agreement between you and the Company; or (d) a material adverse change to the expectations for your presence in the office as set forth in Section 1 of this Agreement. In order to resign for Good Reason, you must provide written notice to the Company’s Board within 30 days after the first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90 days after the expiration of the cure period.</w:t>
      </w:r>
    </w:p>
    <w:p>
      <w:pPr>
        <w:pStyle w:val="TextBody"/>
        <w:spacing w:before="0" w:after="240"/>
        <w:jc w:val="both"/>
        <w:rPr>
          <w:rFonts w:ascii="Times New Roman" w:hAnsi="Times New Roman"/>
          <w:b/>
          <w:sz w:val="24"/>
        </w:rPr>
      </w:pPr>
      <w:r>
        <w:rPr>
          <w:rFonts w:ascii="Times New Roman" w:hAnsi="Times New Roman"/>
          <w:b/>
          <w:sz w:val="24"/>
        </w:rPr>
        <w:t>8.4</w:t>
      </w:r>
    </w:p>
    <w:p>
      <w:pPr>
        <w:pStyle w:val="TextBody"/>
        <w:spacing w:before="0" w:after="240"/>
        <w:jc w:val="both"/>
        <w:rPr/>
      </w:pPr>
      <w:r>
        <w:rPr>
          <w:rFonts w:ascii="Times New Roman;serif" w:hAnsi="Times New Roman;serif"/>
          <w:b/>
          <w:sz w:val="24"/>
        </w:rPr>
        <w:t xml:space="preserve">Involuntary Termination. </w:t>
      </w:r>
      <w:r>
        <w:rPr>
          <w:rFonts w:ascii="Times New Roman;serif" w:hAnsi="Times New Roman;serif"/>
          <w:b w:val="false"/>
          <w:sz w:val="24"/>
        </w:rPr>
        <w:t>For purposes of this Agreement, “</w:t>
      </w:r>
      <w:r>
        <w:rPr>
          <w:rFonts w:ascii="Times New Roman;serif" w:hAnsi="Times New Roman;serif"/>
          <w:b/>
          <w:sz w:val="24"/>
        </w:rPr>
        <w:t>Involuntary Termination</w:t>
      </w:r>
      <w:r>
        <w:rPr/>
        <w:t xml:space="preserve">” </w:t>
      </w:r>
      <w:r>
        <w:rPr>
          <w:rFonts w:ascii="Times New Roman;serif" w:hAnsi="Times New Roman;serif"/>
          <w:b w:val="false"/>
          <w:sz w:val="24"/>
        </w:rPr>
        <w:t>means a termination of your employment with the 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pStyle w:val="TextBody"/>
        <w:spacing w:before="0" w:after="240"/>
        <w:jc w:val="both"/>
        <w:rPr>
          <w:rFonts w:ascii="Times New Roman" w:hAnsi="Times New Roman"/>
          <w:b/>
          <w:sz w:val="24"/>
        </w:rPr>
      </w:pPr>
      <w:r>
        <w:rPr>
          <w:rFonts w:ascii="Times New Roman" w:hAnsi="Times New Roman"/>
          <w:b/>
          <w:sz w:val="24"/>
        </w:rPr>
        <w:t>8.5</w:t>
      </w:r>
    </w:p>
    <w:p>
      <w:pPr>
        <w:pStyle w:val="TextBody"/>
        <w:spacing w:before="0" w:after="240"/>
        <w:jc w:val="both"/>
        <w:rPr/>
      </w:pPr>
      <w:r>
        <w:rPr>
          <w:rFonts w:ascii="Times New Roman;serif" w:hAnsi="Times New Roman;serif"/>
          <w:b/>
          <w:sz w:val="24"/>
        </w:rPr>
        <w:t xml:space="preserve">Separation from Service. </w:t>
      </w:r>
      <w:r>
        <w:rPr>
          <w:rFonts w:ascii="Times New Roman;serif" w:hAnsi="Times New Roman;serif"/>
          <w:b w:val="false"/>
          <w:sz w:val="24"/>
        </w:rPr>
        <w:t>For purposes of this Agreement, “Separation from Service”</w:t>
      </w:r>
      <w:r>
        <w:rPr/>
        <w:t xml:space="preserve"> </w:t>
      </w:r>
      <w:r>
        <w:rPr>
          <w:rFonts w:ascii="Times New Roman;serif" w:hAnsi="Times New Roman;serif"/>
          <w:b w:val="false"/>
          <w:sz w:val="24"/>
        </w:rPr>
        <w:t>means a “separation from service”, as defined under Treasury Regulation Section 1.409A-1(h).</w:t>
      </w:r>
    </w:p>
    <w:p>
      <w:pPr>
        <w:pStyle w:val="TextBody"/>
        <w:spacing w:before="0" w:after="240"/>
        <w:jc w:val="both"/>
        <w:rPr>
          <w:rFonts w:ascii="Times New Roman" w:hAnsi="Times New Roman"/>
          <w:b/>
          <w:caps/>
          <w:sz w:val="24"/>
        </w:rPr>
      </w:pPr>
      <w:r>
        <w:rPr>
          <w:rFonts w:ascii="Times New Roman" w:hAnsi="Times New Roman"/>
          <w:b/>
          <w:caps/>
          <w:sz w:val="24"/>
        </w:rPr>
        <w:t>9.</w:t>
      </w:r>
    </w:p>
    <w:p>
      <w:pPr>
        <w:pStyle w:val="TextBody"/>
        <w:spacing w:before="0" w:after="240"/>
        <w:jc w:val="both"/>
        <w:rPr/>
      </w:pPr>
      <w:r>
        <w:rPr>
          <w:rFonts w:ascii="Times New Roman;serif" w:hAnsi="Times New Roman;serif"/>
          <w:b/>
          <w:sz w:val="24"/>
        </w:rPr>
        <w:t>Proprietary Information Obligations.</w:t>
      </w:r>
      <w:r>
        <w:rPr/>
        <w:t xml:space="preserve"> </w:t>
      </w:r>
      <w:r>
        <w:rPr>
          <w:rFonts w:ascii="Times New Roman;serif" w:hAnsi="Times New Roman;serif"/>
          <w:b w:val="false"/>
          <w:sz w:val="24"/>
        </w:rPr>
        <w:t>As a condition of employment, you shall execute and abide by the Company’s standard form of Confidential Information and Invention Assignment Agreement (the “</w:t>
      </w:r>
      <w:r>
        <w:rPr>
          <w:rFonts w:ascii="Times New Roman;serif" w:hAnsi="Times New Roman;serif"/>
          <w:b/>
          <w:sz w:val="24"/>
        </w:rPr>
        <w:t>Confidentiality Agreement</w:t>
      </w:r>
      <w:r>
        <w:rPr/>
        <w:t>”</w:t>
      </w:r>
      <w:r>
        <w:rPr>
          <w:rFonts w:ascii="Times New Roman;serif" w:hAnsi="Times New Roman;serif"/>
          <w:b w:val="false"/>
          <w:sz w:val="24"/>
        </w:rPr>
        <w:t xml:space="preserve">), attached as </w:t>
      </w:r>
      <w:r>
        <w:rPr>
          <w:rFonts w:ascii="Times New Roman;serif" w:hAnsi="Times New Roman;serif"/>
          <w:b/>
          <w:sz w:val="24"/>
          <w:u w:val="single"/>
        </w:rPr>
        <w:t>Exhibit B</w:t>
      </w:r>
      <w:r>
        <w:rPr>
          <w:rFonts w:ascii="Times New Roman;serif" w:hAnsi="Times New Roman;serif"/>
          <w:b w:val="false"/>
          <w:sz w:val="24"/>
        </w:rPr>
        <w:t xml:space="preserve">.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278842415 v5</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confidentiality. You hereby represent that you have disclosed to the Company any contract you have signed that may restrict your activities on behalf of the Company.</w:t>
      </w:r>
    </w:p>
    <w:p>
      <w:pPr>
        <w:pStyle w:val="TextBody"/>
        <w:spacing w:before="0" w:after="240"/>
        <w:jc w:val="both"/>
        <w:rPr>
          <w:rFonts w:ascii="Times New Roman" w:hAnsi="Times New Roman"/>
          <w:b/>
          <w:caps/>
          <w:sz w:val="24"/>
        </w:rPr>
      </w:pPr>
      <w:r>
        <w:rPr>
          <w:rFonts w:ascii="Times New Roman" w:hAnsi="Times New Roman"/>
          <w:b/>
          <w:caps/>
          <w:sz w:val="24"/>
        </w:rPr>
        <w:t>10.</w:t>
      </w:r>
    </w:p>
    <w:p>
      <w:pPr>
        <w:pStyle w:val="TextBody"/>
        <w:spacing w:before="0" w:after="240"/>
        <w:jc w:val="both"/>
        <w:rPr/>
      </w:pPr>
      <w:r>
        <w:rPr>
          <w:rFonts w:ascii="Times New Roman;serif" w:hAnsi="Times New Roman;serif"/>
          <w:b/>
          <w:sz w:val="24"/>
        </w:rPr>
        <w:t>Section 409A.</w:t>
      </w:r>
      <w:r>
        <w:rPr/>
        <w:t xml:space="preserve"> </w:t>
      </w:r>
      <w:r>
        <w:rPr>
          <w:rFonts w:ascii="Times New Roman;serif" w:hAnsi="Times New Roman;serif"/>
          <w:b w:val="false"/>
          <w:sz w:val="24"/>
        </w:rPr>
        <w:t xml:space="preserve">It is intended that all of the severance benefits and other payments payable under this Agreement 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first date following expiration of the six-month period following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Separation Agreement will not be deemed effective any earlier than the Release Deadline for purposes of determining the timing of provision of any severance benefits. </w:t>
      </w:r>
    </w:p>
    <w:p>
      <w:pPr>
        <w:pStyle w:val="TextBody"/>
        <w:spacing w:before="0" w:after="240"/>
        <w:jc w:val="both"/>
        <w:rPr>
          <w:rFonts w:ascii="Times New Roman" w:hAnsi="Times New Roman"/>
          <w:b/>
          <w:caps/>
          <w:sz w:val="24"/>
        </w:rPr>
      </w:pPr>
      <w:r>
        <w:rPr>
          <w:rFonts w:ascii="Times New Roman" w:hAnsi="Times New Roman"/>
          <w:b/>
          <w:caps/>
          <w:sz w:val="24"/>
        </w:rPr>
        <w:t>11.</w:t>
      </w:r>
    </w:p>
    <w:p>
      <w:pPr>
        <w:pStyle w:val="TextBody"/>
        <w:spacing w:before="0" w:after="240"/>
        <w:jc w:val="both"/>
        <w:rPr>
          <w:rFonts w:ascii="Times New Roman;serif" w:hAnsi="Times New Roman;serif"/>
          <w:b/>
          <w:sz w:val="24"/>
        </w:rPr>
      </w:pPr>
      <w:r>
        <w:rPr>
          <w:rFonts w:ascii="Times New Roman;serif" w:hAnsi="Times New Roman;serif"/>
          <w:b/>
          <w:sz w:val="24"/>
        </w:rPr>
        <w:t>Arbitration of All Disputes.</w:t>
      </w:r>
    </w:p>
    <w:p>
      <w:pPr>
        <w:pStyle w:val="TextBody"/>
        <w:spacing w:before="0" w:after="240"/>
        <w:jc w:val="both"/>
        <w:rPr>
          <w:rFonts w:ascii="Times New Roman" w:hAnsi="Times New Roman"/>
          <w:b/>
          <w:sz w:val="24"/>
        </w:rPr>
      </w:pPr>
      <w:r>
        <w:rPr>
          <w:rFonts w:ascii="Times New Roman" w:hAnsi="Times New Roman"/>
          <w:b/>
          <w:sz w:val="24"/>
        </w:rPr>
        <w:t>11.1</w:t>
      </w:r>
    </w:p>
    <w:p>
      <w:pPr>
        <w:pStyle w:val="TextBody"/>
        <w:spacing w:before="0" w:after="240"/>
        <w:jc w:val="both"/>
        <w:rPr/>
      </w:pPr>
      <w:r>
        <w:rPr>
          <w:rFonts w:ascii="Times New Roman;serif" w:hAnsi="Times New Roman;serif"/>
          <w:b/>
          <w:sz w:val="24"/>
        </w:rPr>
        <w:t>Agreement to Arbitrate</w:t>
      </w:r>
      <w:r>
        <w:rPr>
          <w:rFonts w:ascii="Times New Roman;serif" w:hAnsi="Times New Roman;serif"/>
          <w:b w:val="false"/>
          <w:sz w:val="24"/>
        </w:rPr>
        <w:t xml:space="preserve">. To ensure the timely and economical resolution of disputes that may arise between you and the Company, both you and the Company mutually agree that pursuant to the Federal Arbitration Act, 9 U.S.C. §1-16, and to the fullest extent permitted by applicable law, you and the Company will submit solely to final, binding and confidential arbitration any and all disputes, claims, or causes of action arising from or relating to: </w:t>
      </w:r>
      <w:r>
        <w:rPr>
          <w:rFonts w:ascii="Times New Roman;serif" w:hAnsi="Times New Roman;serif"/>
          <w:b/>
          <w:sz w:val="24"/>
        </w:rPr>
        <w:t>(i)</w:t>
      </w:r>
      <w:r>
        <w:rPr/>
        <w:t xml:space="preserve"> </w:t>
      </w:r>
      <w:r>
        <w:rPr>
          <w:rFonts w:ascii="Times New Roman;serif" w:hAnsi="Times New Roman;serif"/>
          <w:b w:val="false"/>
          <w:sz w:val="24"/>
        </w:rPr>
        <w:t xml:space="preserve">the negotiation, execution, interpretation, performance, breach or enforcement of this Agreement; or </w:t>
      </w:r>
      <w:r>
        <w:rPr>
          <w:rFonts w:ascii="Times New Roman;serif" w:hAnsi="Times New Roman;serif"/>
          <w:b/>
          <w:sz w:val="24"/>
        </w:rPr>
        <w:t>(ii)</w:t>
      </w:r>
      <w:r>
        <w:rPr/>
        <w:t xml:space="preserve"> </w:t>
      </w:r>
      <w:r>
        <w:rPr>
          <w:rFonts w:ascii="Times New Roman;serif" w:hAnsi="Times New Roman;serif"/>
          <w:b w:val="false"/>
          <w:sz w:val="24"/>
        </w:rPr>
        <w:t xml:space="preserve">your employment with the Company (including but not limited to all statutory claims); or </w:t>
      </w:r>
      <w:r>
        <w:rPr>
          <w:rFonts w:ascii="Times New Roman;serif" w:hAnsi="Times New Roman;serif"/>
          <w:b/>
          <w:sz w:val="24"/>
        </w:rPr>
        <w:t>(iii)</w:t>
      </w:r>
      <w:r>
        <w:rPr/>
        <w:t xml:space="preserve"> </w:t>
      </w:r>
      <w:r>
        <w:rPr>
          <w:rFonts w:ascii="Times New Roman;serif" w:hAnsi="Times New Roman;serif"/>
          <w:b w:val="false"/>
          <w:sz w:val="24"/>
        </w:rPr>
        <w:t xml:space="preserve">the termination of your employment with the Company (including but not limited to all statutory claims). </w:t>
      </w:r>
      <w:r>
        <w:rPr>
          <w:rFonts w:ascii="Times New Roman;serif" w:hAnsi="Times New Roman;serif"/>
          <w:b/>
          <w:caps/>
          <w:sz w:val="24"/>
        </w:rPr>
        <w:t>By agreeing to this arbitration procedure, both you and the Company waive the right to resolve any such disputes through a trial by jury or judge or through an administrative proceeding.</w:t>
      </w:r>
      <w:r>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278842415 v5</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rFonts w:ascii="Times New Roman" w:hAnsi="Times New Roman"/>
          <w:b/>
          <w:sz w:val="24"/>
        </w:rPr>
      </w:pPr>
      <w:r>
        <w:rPr>
          <w:rFonts w:ascii="Times New Roman" w:hAnsi="Times New Roman"/>
          <w:b/>
          <w:sz w:val="24"/>
        </w:rPr>
        <w:t>11.2</w:t>
      </w:r>
    </w:p>
    <w:p>
      <w:pPr>
        <w:pStyle w:val="TextBody"/>
        <w:spacing w:before="0" w:after="240"/>
        <w:jc w:val="both"/>
        <w:rPr/>
      </w:pPr>
      <w:r>
        <w:rPr>
          <w:rFonts w:ascii="Times New Roman;serif" w:hAnsi="Times New Roman;serif"/>
          <w:b/>
          <w:sz w:val="24"/>
        </w:rPr>
        <w:t>Arbitrator Authority</w:t>
      </w:r>
      <w:r>
        <w:rPr>
          <w:rFonts w:ascii="Times New Roman;serif" w:hAnsi="Times New Roman;serif"/>
          <w:b w:val="false"/>
          <w:sz w:val="24"/>
        </w:rPr>
        <w:t xml:space="preserve">. The arbitrator shall have the sole and exclusive authority to determine whether a dispute, claim or cause of action is subject to arbitration under this Section and to determine any procedural questions which grow out of such disputes, claims or causes of action and bear on their final disposition. </w:t>
      </w:r>
    </w:p>
    <w:p>
      <w:pPr>
        <w:pStyle w:val="TextBody"/>
        <w:spacing w:before="0" w:after="240"/>
        <w:jc w:val="both"/>
        <w:rPr>
          <w:rFonts w:ascii="Times New Roman" w:hAnsi="Times New Roman"/>
          <w:b/>
          <w:sz w:val="24"/>
        </w:rPr>
      </w:pPr>
      <w:r>
        <w:rPr>
          <w:rFonts w:ascii="Times New Roman" w:hAnsi="Times New Roman"/>
          <w:b/>
          <w:sz w:val="24"/>
        </w:rPr>
        <w:t>11.3</w:t>
      </w:r>
    </w:p>
    <w:p>
      <w:pPr>
        <w:pStyle w:val="TextBody"/>
        <w:spacing w:before="0" w:after="240"/>
        <w:jc w:val="both"/>
        <w:rPr/>
      </w:pPr>
      <w:r>
        <w:rPr>
          <w:rFonts w:ascii="Times New Roman;serif" w:hAnsi="Times New Roman;serif"/>
          <w:b/>
          <w:sz w:val="24"/>
        </w:rPr>
        <w:t>Individual Capacity Only</w:t>
      </w:r>
      <w:r>
        <w:rPr>
          <w:rFonts w:ascii="Times New Roman;serif" w:hAnsi="Times New Roman;serif"/>
          <w:b w:val="false"/>
          <w:sz w:val="24"/>
        </w:rPr>
        <w:t xml:space="preserve">. All claims, disputes, or causes of action under this Section, whether by you or 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 unenforceable, any claim(s) alleged or brought on behalf of a class shall proceed in a court of law rather than by arbitration. </w:t>
      </w:r>
    </w:p>
    <w:p>
      <w:pPr>
        <w:pStyle w:val="TextBody"/>
        <w:spacing w:before="0" w:after="240"/>
        <w:jc w:val="both"/>
        <w:rPr>
          <w:rFonts w:ascii="Times New Roman" w:hAnsi="Times New Roman"/>
          <w:b/>
          <w:sz w:val="24"/>
        </w:rPr>
      </w:pPr>
      <w:r>
        <w:rPr>
          <w:rFonts w:ascii="Times New Roman" w:hAnsi="Times New Roman"/>
          <w:b/>
          <w:sz w:val="24"/>
        </w:rPr>
        <w:t>11.4</w:t>
      </w:r>
    </w:p>
    <w:p>
      <w:pPr>
        <w:pStyle w:val="TextBody"/>
        <w:spacing w:before="0" w:after="240"/>
        <w:jc w:val="both"/>
        <w:rPr/>
      </w:pPr>
      <w:r>
        <w:rPr>
          <w:rFonts w:ascii="Times New Roman;serif" w:hAnsi="Times New Roman;serif"/>
          <w:b/>
          <w:sz w:val="24"/>
        </w:rPr>
        <w:t>Arbitration Process</w:t>
      </w:r>
      <w:r>
        <w:rPr>
          <w:rFonts w:ascii="Times New Roman;serif" w:hAnsi="Times New Roman;serif"/>
          <w:b w:val="false"/>
          <w:sz w:val="24"/>
        </w:rPr>
        <w:t>. Any arbitration proceeding under this Section shall be presided over by a single arbitrator and conducted by JAMS, Inc. (“</w:t>
      </w:r>
      <w:r>
        <w:rPr>
          <w:rFonts w:ascii="Times New Roman;serif" w:hAnsi="Times New Roman;serif"/>
          <w:b/>
          <w:sz w:val="24"/>
        </w:rPr>
        <w:t>JAMS</w:t>
      </w:r>
      <w:r>
        <w:rPr/>
        <w:t>”</w:t>
      </w:r>
      <w:r>
        <w:rPr>
          <w:rFonts w:ascii="Times New Roman;serif" w:hAnsi="Times New Roman;serif"/>
          <w:b w:val="false"/>
          <w:sz w:val="24"/>
        </w:rPr>
        <w:t xml:space="preserve">) in Dallas, Texas, or as otherwise agreed to by you and the Company, under the then applicable JAMS rules for the resolution of employment disputes (available upon request and also currently available at </w:t>
      </w:r>
      <w:r>
        <w:rPr>
          <w:rFonts w:ascii="Times New Roman;serif" w:hAnsi="Times New Roman;serif"/>
          <w:b w:val="false"/>
          <w:sz w:val="24"/>
          <w:u w:val="single"/>
        </w:rPr>
        <w:t>http://www.jamsadr.com/rules-employment-arbitration/</w:t>
      </w:r>
      <w:r>
        <w:rPr>
          <w:rFonts w:ascii="Times New Roman;serif" w:hAnsi="Times New Roman;serif"/>
          <w:b w:val="false"/>
          <w:sz w:val="24"/>
        </w:rPr>
        <w:t xml:space="preserve">). You and the Company both have the right to be represented by legal counsel at any arbitration proceeding, at each party’s own expense. The arbitrator shall: </w:t>
      </w:r>
      <w:r>
        <w:rPr>
          <w:rFonts w:ascii="Times New Roman;serif" w:hAnsi="Times New Roman;serif"/>
          <w:b/>
          <w:sz w:val="24"/>
        </w:rPr>
        <w:t>(i)</w:t>
      </w:r>
      <w:r>
        <w:rPr/>
        <w:t xml:space="preserve"> </w:t>
      </w:r>
      <w:r>
        <w:rPr>
          <w:rFonts w:ascii="Times New Roman;serif" w:hAnsi="Times New Roman;serif"/>
          <w:b w:val="false"/>
          <w:sz w:val="24"/>
        </w:rPr>
        <w:t xml:space="preserve">have the authority to compel adequate discovery for the resolution of the dispute; </w:t>
      </w:r>
      <w:r>
        <w:rPr>
          <w:rFonts w:ascii="Times New Roman;serif" w:hAnsi="Times New Roman;serif"/>
          <w:b/>
          <w:sz w:val="24"/>
        </w:rPr>
        <w:t>(ii)</w:t>
      </w:r>
      <w:r>
        <w:rPr/>
        <w:t xml:space="preserve"> </w:t>
      </w:r>
      <w:r>
        <w:rPr>
          <w:rFonts w:ascii="Times New Roman;serif" w:hAnsi="Times New Roman;serif"/>
          <w:b w:val="false"/>
          <w:sz w:val="24"/>
        </w:rPr>
        <w:t xml:space="preserve">issue a written arbitration decision, to include the arbitrator’s essential findings and conclusions and a statement of the award; and </w:t>
      </w:r>
      <w:r>
        <w:rPr>
          <w:rFonts w:ascii="Times New Roman;serif" w:hAnsi="Times New Roman;serif"/>
          <w:b/>
          <w:sz w:val="24"/>
        </w:rPr>
        <w:t>(iii)</w:t>
      </w:r>
      <w:r>
        <w:rPr/>
        <w:t xml:space="preserve"> </w:t>
      </w:r>
      <w:r>
        <w:rPr>
          <w:rFonts w:ascii="Times New Roman;serif" w:hAnsi="Times New Roman;serif"/>
          <w:b w:val="false"/>
          <w:sz w:val="24"/>
        </w:rPr>
        <w:t xml:space="preserve">be authorized to award any or all remedies that you or the Company would be entitled to seek in a court of law. The Company shall pay all JAMS arbitration fees in excess of the amount of court fees that would be required of you if the dispute were decided in a court of law. </w:t>
      </w:r>
    </w:p>
    <w:p>
      <w:pPr>
        <w:pStyle w:val="TextBody"/>
        <w:spacing w:before="0" w:after="240"/>
        <w:jc w:val="both"/>
        <w:rPr>
          <w:rFonts w:ascii="Times New Roman" w:hAnsi="Times New Roman"/>
          <w:b/>
          <w:sz w:val="24"/>
        </w:rPr>
      </w:pPr>
      <w:r>
        <w:rPr>
          <w:rFonts w:ascii="Times New Roman" w:hAnsi="Times New Roman"/>
          <w:b/>
          <w:sz w:val="24"/>
        </w:rPr>
        <w:t>11.5</w:t>
      </w:r>
    </w:p>
    <w:p>
      <w:pPr>
        <w:pStyle w:val="TextBody"/>
        <w:spacing w:before="0" w:after="240"/>
        <w:jc w:val="both"/>
        <w:rPr/>
      </w:pPr>
      <w:r>
        <w:rPr>
          <w:rFonts w:ascii="Times New Roman;serif" w:hAnsi="Times New Roman;serif"/>
          <w:b/>
          <w:sz w:val="24"/>
        </w:rPr>
        <w:t>Excluded Claims</w:t>
      </w:r>
      <w:r>
        <w:rPr>
          <w:rFonts w:ascii="Times New Roman;serif" w:hAnsi="Times New Roman;serif"/>
          <w:b w:val="false"/>
          <w:sz w:val="24"/>
        </w:rPr>
        <w:t>. This Section shall not apply to any action or claim that cannot be subject to mandatory arbitration as a matter of law, to the extent such claims are not permitted by applicable law to be submitted to mandatory arbitration and such applicable law is not preempted by the Federal Arbitration Act or otherwise invalid (collectively, the “</w:t>
      </w:r>
      <w:r>
        <w:rPr>
          <w:rFonts w:ascii="Times New Roman;serif" w:hAnsi="Times New Roman;serif"/>
          <w:b/>
          <w:sz w:val="24"/>
        </w:rPr>
        <w:t>Excluded Claims</w:t>
      </w:r>
      <w:r>
        <w:rPr/>
        <w:t>”</w:t>
      </w:r>
      <w:r>
        <w:rPr>
          <w:rFonts w:ascii="Times New Roman;serif" w:hAnsi="Times New Roman;serif"/>
          <w:b w:val="false"/>
          <w:sz w:val="24"/>
        </w:rPr>
        <w:t>). In the event you intend to bring multiple claims, including one of the Excluded Claims listed above, the Excluded Claims may be filed with a court, while any other claims will remain subject to mandatory arbitration.</w:t>
      </w:r>
    </w:p>
    <w:p>
      <w:pPr>
        <w:pStyle w:val="TextBody"/>
        <w:spacing w:before="0" w:after="240"/>
        <w:jc w:val="both"/>
        <w:rPr>
          <w:rFonts w:ascii="Times New Roman" w:hAnsi="Times New Roman"/>
          <w:b/>
          <w:sz w:val="24"/>
        </w:rPr>
      </w:pPr>
      <w:r>
        <w:rPr>
          <w:rFonts w:ascii="Times New Roman" w:hAnsi="Times New Roman"/>
          <w:b/>
          <w:sz w:val="24"/>
        </w:rPr>
        <w:t>11.6</w:t>
      </w:r>
    </w:p>
    <w:p>
      <w:pPr>
        <w:pStyle w:val="TextBody"/>
        <w:spacing w:before="0" w:after="240"/>
        <w:jc w:val="both"/>
        <w:rPr/>
      </w:pPr>
      <w:r>
        <w:rPr>
          <w:rFonts w:ascii="Times New Roman;serif" w:hAnsi="Times New Roman;serif"/>
          <w:b/>
          <w:sz w:val="24"/>
        </w:rPr>
        <w:t>Injunctive Relief and Final Orders</w:t>
      </w:r>
      <w:r>
        <w:rPr>
          <w:rFonts w:ascii="Times New Roman;serif" w:hAnsi="Times New Roman;serif"/>
          <w:b w:val="false"/>
          <w:sz w:val="24"/>
        </w:rPr>
        <w:t>. Nothing in this Section is intended to prevent either you or the 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pStyle w:val="TextBody"/>
        <w:spacing w:before="0" w:after="240"/>
        <w:jc w:val="both"/>
        <w:rPr>
          <w:rFonts w:ascii="Times New Roman" w:hAnsi="Times New Roman"/>
          <w:b/>
          <w:caps/>
          <w:sz w:val="24"/>
        </w:rPr>
      </w:pPr>
      <w:r>
        <w:rPr>
          <w:rFonts w:ascii="Times New Roman" w:hAnsi="Times New Roman"/>
          <w:b/>
          <w:caps/>
          <w:sz w:val="24"/>
        </w:rPr>
        <w:t>12.</w:t>
      </w:r>
    </w:p>
    <w:p>
      <w:pPr>
        <w:pStyle w:val="TextBody"/>
        <w:spacing w:before="0" w:after="240"/>
        <w:jc w:val="both"/>
        <w:rPr/>
      </w:pPr>
      <w:r>
        <w:rPr>
          <w:rFonts w:ascii="Times New Roman;serif" w:hAnsi="Times New Roman;serif"/>
          <w:b/>
          <w:sz w:val="24"/>
        </w:rPr>
        <w:t>General Provisions.</w:t>
      </w:r>
      <w:r>
        <w:rPr/>
        <w:t xml:space="preserve"> </w:t>
      </w:r>
      <w:r>
        <w:rPr>
          <w:rFonts w:ascii="Times New Roman;serif" w:hAnsi="Times New Roman;serif"/>
          <w:b w:val="false"/>
          <w:sz w:val="24"/>
        </w:rPr>
        <w:t xml:space="preserve">This Agreement, together with the Confidentiality 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Modifications or amendments to this Agreement, must be made in a written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278842415 v5</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pPr>
      <w:r>
        <w:rPr>
          <w:rFonts w:ascii="Times New Roman;serif" w:hAnsi="Times New Roman;serif"/>
          <w:b w:val="false"/>
          <w:sz w:val="24"/>
        </w:rPr>
        <w:t>agreement signed by you and the Company’s Board.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 not thereby be deemed to have waived any preceding or succeeding breach of the same or any other provision of this Agreement. This Agreement is intended to bind and inure to the benefit of and be enforceable by you and the Company, and their respective successors, assigns, heirs, executors and administrators. You may not assign any of your duties hereunder and you may not assign any of your rights hereunder without the written consent of the Company. This Agreement shall become effective as of the Start Date and shall terminate upon your termination of employment with the Company (other than those obligations or yours as set forth herein that survive the termination of this Agreement). All questions concerning the construction, validity and interpretation of this Agreement will be governed by the laws of the State of Texas.</w:t>
      </w:r>
      <w:r>
        <w:rPr/>
        <w:t xml:space="preserve"> </w:t>
      </w:r>
    </w:p>
    <w:p>
      <w:pPr>
        <w:pStyle w:val="TextBody"/>
        <w:spacing w:before="0" w:after="0"/>
        <w:jc w:val="both"/>
        <w:rPr>
          <w:rFonts w:ascii="Times New Roman" w:hAnsi="Times New Roman"/>
          <w:sz w:val="20"/>
        </w:rPr>
      </w:pPr>
      <w:r>
        <w:rPr>
          <w:rFonts w:ascii="Times New Roman;serif" w:hAnsi="Times New Roman;serif"/>
          <w:b w:val="false"/>
          <w:sz w:val="24"/>
        </w:rPr>
        <w:t>This offer is subject to satisfactory proof of your identity and right to work in the United States and other applicable pre-employment screenings and checks.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We look forward to having you join us. If you have any questions about this Agreement, please do not hesitate to call me.</w:t>
      </w:r>
    </w:p>
    <w:p>
      <w:pPr>
        <w:pStyle w:val="TextBody"/>
        <w:spacing w:before="0" w:after="0"/>
        <w:jc w:val="both"/>
        <w:rPr/>
      </w:pPr>
      <w:r>
        <w:rPr/>
        <w:t> </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Best regards,</w:t>
      </w:r>
    </w:p>
    <w:p>
      <w:pPr>
        <w:pStyle w:val="TextBody"/>
        <w:spacing w:before="0" w:after="120"/>
        <w:jc w:val="left"/>
        <w:rPr>
          <w:rFonts w:ascii="Times New Roman;serif" w:hAnsi="Times New Roman;serif"/>
          <w:b/>
          <w:smallCaps/>
          <w:sz w:val="24"/>
        </w:rPr>
      </w:pPr>
      <w:r>
        <w:rPr>
          <w:rFonts w:ascii="Times New Roman;serif" w:hAnsi="Times New Roman;serif"/>
          <w:b/>
          <w:smallCaps/>
          <w:sz w:val="24"/>
        </w:rPr>
        <w:t>Taysha Gene Therapies, Inc.</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/s/ Kamran Alam</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Kamran Alam</w:t>
      </w:r>
    </w:p>
    <w:p>
      <w:pPr>
        <w:pStyle w:val="TextBody"/>
        <w:spacing w:before="0" w:after="0"/>
        <w:jc w:val="left"/>
        <w:rPr>
          <w:rFonts w:ascii="Times New Roman;serif" w:hAnsi="Times New Roman;serif"/>
          <w:b w:val="false"/>
          <w:sz w:val="24"/>
        </w:rPr>
      </w:pPr>
      <w:r>
        <w:rPr>
          <w:rFonts w:ascii="Times New Roman;serif" w:hAnsi="Times New Roman;serif"/>
          <w:b w:val="false"/>
          <w:sz w:val="24"/>
        </w:rPr>
        <w:t>Chief Financial Officer</w:t>
      </w:r>
    </w:p>
    <w:p>
      <w:pPr>
        <w:pStyle w:val="TextBody"/>
        <w:spacing w:before="240" w:after="0"/>
        <w:jc w:val="left"/>
        <w:rPr>
          <w:rFonts w:ascii="Times New Roman;serif" w:hAnsi="Times New Roman;serif"/>
          <w:b/>
          <w:sz w:val="24"/>
        </w:rPr>
      </w:pPr>
      <w:r>
        <w:rPr>
          <w:rFonts w:ascii="Times New Roman;serif" w:hAnsi="Times New Roman;serif"/>
          <w:b/>
          <w:sz w:val="24"/>
        </w:rPr>
        <w:t>Accepted and agreed:</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/s/ Sean Nolan</w:t>
      </w:r>
    </w:p>
    <w:p>
      <w:pPr>
        <w:pStyle w:val="TextBody"/>
        <w:spacing w:before="0" w:after="0"/>
        <w:jc w:val="left"/>
        <w:rPr/>
      </w:pPr>
      <w:r>
        <w:rPr/>
        <w:t> </w:t>
      </w:r>
    </w:p>
    <w:p>
      <w:pPr>
        <w:pStyle w:val="TextBody"/>
        <w:spacing w:before="0" w:after="120"/>
        <w:jc w:val="left"/>
        <w:rPr>
          <w:rFonts w:ascii="Times New Roman;serif" w:hAnsi="Times New Roman;serif"/>
          <w:b w:val="false"/>
          <w:sz w:val="24"/>
        </w:rPr>
      </w:pPr>
      <w:r>
        <w:rPr>
          <w:rFonts w:ascii="Times New Roman;serif" w:hAnsi="Times New Roman;serif"/>
          <w:b w:val="false"/>
          <w:sz w:val="24"/>
        </w:rPr>
        <w:t>Sean Nolan</w:t>
      </w:r>
    </w:p>
    <w:p>
      <w:pPr>
        <w:pStyle w:val="TextBody"/>
        <w:spacing w:before="0" w:after="120"/>
        <w:jc w:val="left"/>
        <w:rPr/>
      </w:pPr>
      <w:r>
        <w:rPr/>
        <w:t> </w:t>
      </w:r>
    </w:p>
    <w:p>
      <w:pPr>
        <w:pStyle w:val="TextBody"/>
        <w:spacing w:before="0" w:after="120"/>
        <w:jc w:val="left"/>
        <w:rPr>
          <w:rFonts w:ascii="Times New Roman;serif" w:hAnsi="Times New Roman;serif"/>
          <w:b w:val="false"/>
          <w:sz w:val="24"/>
        </w:rPr>
      </w:pPr>
      <w:r>
        <w:rPr>
          <w:rFonts w:ascii="Times New Roman;serif" w:hAnsi="Times New Roman;serif"/>
          <w:b w:val="false"/>
          <w:sz w:val="24"/>
        </w:rPr>
        <w:t>Date: _________________________</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278842415 v5</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serif" w:hAnsi="Times New Roman;serif"/>
          <w:b/>
          <w:sz w:val="24"/>
          <w:u w:val="single"/>
        </w:rPr>
        <w:t>Exhibit A</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smallCaps/>
          <w:sz w:val="24"/>
        </w:rPr>
      </w:pPr>
      <w:r>
        <w:rPr>
          <w:rFonts w:ascii="Times New Roman;serif" w:hAnsi="Times New Roman;serif"/>
          <w:b/>
          <w:smallCaps/>
          <w:sz w:val="24"/>
        </w:rPr>
        <w:t>Outside Activities</w:t>
      </w:r>
    </w:p>
    <w:p>
      <w:pPr>
        <w:pStyle w:val="TextBody"/>
        <w:spacing w:before="0" w:after="0"/>
        <w:jc w:val="center"/>
        <w:rPr/>
      </w:pPr>
      <w:r>
        <w:rPr/>
        <w:t> </w:t>
      </w:r>
    </w:p>
    <w:p>
      <w:pPr>
        <w:pStyle w:val="TextBody"/>
        <w:spacing w:before="0" w:after="0"/>
        <w:jc w:val="center"/>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Chairman of Jaguar Gene Therapy, Affinia Therapeutics and Encoded Therapeutics</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Executive Chairman of Istari Oncology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4"/>
        </w:rPr>
        <w:t>Member of the Board of Directors of Ventas Inc</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Goldman Sachs Life Sciences Fund Advisory Board Member</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John Carroll University Board of Directors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4"/>
        </w:rPr>
        <w:t>Member of the Board of Directors of Social Capital</w:t>
      </w:r>
      <w:r>
        <w:rPr>
          <w:rFonts w:ascii="Times New Roman" w:hAnsi="Times New Roman"/>
          <w:sz w:val="20"/>
        </w:rPr>
        <w:t xml:space="preserve"> </w:t>
      </w:r>
    </w:p>
    <w:p>
      <w:pPr>
        <w:pStyle w:val="TextBody"/>
        <w:spacing w:before="0" w:after="0"/>
        <w:jc w:val="both"/>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278842415 v5</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4"/>
          <w:u w:val="single"/>
        </w:rPr>
        <w:t>Exhibit B</w:t>
      </w:r>
      <w:r>
        <w:rPr>
          <w:rFonts w:ascii="Times New Roman" w:hAnsi="Times New Roman"/>
          <w:sz w:val="20"/>
        </w:rPr>
        <w:t xml:space="preserve"> </w:t>
      </w:r>
    </w:p>
    <w:p>
      <w:pPr>
        <w:pStyle w:val="TextBody"/>
        <w:spacing w:before="0" w:after="0"/>
        <w:jc w:val="both"/>
        <w:rPr/>
      </w:pPr>
      <w:r>
        <w:rPr/>
        <w:t> </w:t>
      </w:r>
    </w:p>
    <w:p>
      <w:pPr>
        <w:pStyle w:val="TextBody"/>
        <w:spacing w:before="0" w:after="0"/>
        <w:jc w:val="center"/>
        <w:rPr>
          <w:rFonts w:ascii="Times New Roman;serif" w:hAnsi="Times New Roman;serif"/>
          <w:b/>
          <w:smallCaps/>
          <w:sz w:val="24"/>
        </w:rPr>
      </w:pPr>
      <w:r>
        <w:rPr>
          <w:rFonts w:ascii="Times New Roman;serif" w:hAnsi="Times New Roman;serif"/>
          <w:b/>
          <w:smallCaps/>
          <w:sz w:val="24"/>
        </w:rPr>
        <w:t>Confidential Information and Invention Assignment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278842415 v5</w:t>
      </w:r>
    </w:p>
    <w:p>
      <w:pPr>
        <w:pStyle w:val="TextBody"/>
        <w:spacing w:before="0" w:after="0"/>
        <w:jc w:val="left"/>
        <w:rPr/>
      </w:pPr>
      <w:r>
        <w:rPr/>
        <w:t> </w:t>
      </w:r>
    </w:p>
    <w:p>
      <w:pPr>
        <w:pStyle w:val="HorizontalLine"/>
        <w:rPr/>
      </w:pPr>
      <w:r>
        <w:rPr/>
      </w:r>
      <w:r>
        <w:br w:type="page"/>
      </w:r>
    </w:p>
    <w:p>
      <w:pPr>
        <w:pStyle w:val="TextBody"/>
        <w:spacing w:before="0" w:after="0"/>
        <w:jc w:val="right"/>
        <w:rPr/>
      </w:pPr>
      <w:bookmarkStart w:id="37" w:name="tsha-ex10_24.htm"/>
      <w:bookmarkStart w:id="38" w:name="kstshaex10_24"/>
      <w:bookmarkEnd w:id="37"/>
      <w:bookmarkEnd w:id="38"/>
      <w:r>
        <w:rPr/>
        <w:t> </w:t>
      </w:r>
    </w:p>
    <w:p>
      <w:pPr>
        <w:pStyle w:val="TextBody"/>
        <w:spacing w:before="0" w:after="480"/>
        <w:jc w:val="right"/>
        <w:rPr>
          <w:rFonts w:ascii="Times New Roman" w:hAnsi="Times New Roman"/>
          <w:sz w:val="20"/>
        </w:rPr>
      </w:pPr>
      <w:r>
        <w:rPr>
          <w:rFonts w:ascii="Times New Roman;serif" w:hAnsi="Times New Roman;serif"/>
          <w:b/>
          <w:sz w:val="24"/>
        </w:rPr>
        <w:t>Exhibit</w:t>
      </w:r>
      <w:r>
        <w:rPr>
          <w:rFonts w:ascii="Times New Roman" w:hAnsi="Times New Roman"/>
          <w:smallCaps/>
          <w:sz w:val="20"/>
        </w:rPr>
        <w:t xml:space="preserve"> </w:t>
      </w:r>
      <w:r>
        <w:rPr>
          <w:rFonts w:ascii="Times New Roman;serif" w:hAnsi="Times New Roman;serif"/>
          <w:b/>
          <w:smallCaps/>
          <w:sz w:val="24"/>
        </w:rPr>
        <w:t>10.24</w:t>
      </w:r>
    </w:p>
    <w:p>
      <w:pPr>
        <w:pStyle w:val="TextBody"/>
        <w:spacing w:before="0" w:after="480"/>
        <w:jc w:val="center"/>
        <w:rPr>
          <w:rFonts w:ascii="Times New Roman;serif" w:hAnsi="Times New Roman;serif"/>
          <w:b/>
          <w:smallCaps/>
          <w:sz w:val="24"/>
        </w:rPr>
      </w:pPr>
      <w:bookmarkStart w:id="39" w:name="letterdatewithsdp1"/>
      <w:bookmarkEnd w:id="39"/>
      <w:r>
        <w:rPr>
          <w:rFonts w:ascii="Times New Roman;serif" w:hAnsi="Times New Roman;serif"/>
          <w:b/>
          <w:smallCaps/>
          <w:sz w:val="24"/>
        </w:rPr>
        <w:t>Taysha Gene Therapies, Inc.</w:t>
      </w:r>
    </w:p>
    <w:p>
      <w:pPr>
        <w:pStyle w:val="TextBody"/>
        <w:spacing w:before="0" w:after="480"/>
        <w:jc w:val="both"/>
        <w:rPr>
          <w:rFonts w:ascii="Times New Roman;serif" w:hAnsi="Times New Roman;serif"/>
          <w:b w:val="false"/>
          <w:sz w:val="24"/>
        </w:rPr>
      </w:pPr>
      <w:r>
        <w:rPr>
          <w:rFonts w:ascii="Times New Roman;serif" w:hAnsi="Times New Roman;serif"/>
          <w:b w:val="false"/>
          <w:sz w:val="24"/>
        </w:rPr>
        <w:t>December 30, 2022</w:t>
      </w:r>
    </w:p>
    <w:p>
      <w:pPr>
        <w:pStyle w:val="TextBody"/>
        <w:spacing w:before="0" w:after="0"/>
        <w:jc w:val="left"/>
        <w:rPr>
          <w:rFonts w:ascii="Times New Roman;serif" w:hAnsi="Times New Roman;serif"/>
          <w:b w:val="false"/>
          <w:sz w:val="24"/>
        </w:rPr>
      </w:pPr>
      <w:r>
        <w:rPr>
          <w:rFonts w:ascii="Times New Roman;serif" w:hAnsi="Times New Roman;serif"/>
          <w:b w:val="false"/>
          <w:sz w:val="24"/>
        </w:rPr>
        <w:t>Sukumar Nagendran, M.D.</w:t>
      </w:r>
    </w:p>
    <w:p>
      <w:pPr>
        <w:pStyle w:val="TextBody"/>
        <w:spacing w:before="0" w:after="0"/>
        <w:jc w:val="left"/>
        <w:rPr/>
      </w:pPr>
      <w:r>
        <w:rPr/>
        <w:t> </w:t>
      </w:r>
    </w:p>
    <w:p>
      <w:pPr>
        <w:pStyle w:val="TextBody"/>
        <w:spacing w:before="0" w:after="240"/>
        <w:jc w:val="left"/>
        <w:rPr>
          <w:rFonts w:ascii="Times New Roman;serif" w:hAnsi="Times New Roman;serif"/>
          <w:b/>
          <w:sz w:val="24"/>
        </w:rPr>
      </w:pPr>
      <w:r>
        <w:rPr>
          <w:rFonts w:ascii="Times New Roman;serif" w:hAnsi="Times New Roman;serif"/>
          <w:b/>
          <w:sz w:val="24"/>
        </w:rPr>
        <w:t>Re: Offer of Employment</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Dear Sukumar:</w:t>
      </w:r>
    </w:p>
    <w:p>
      <w:pPr>
        <w:pStyle w:val="TextBody"/>
        <w:spacing w:before="0" w:after="240"/>
        <w:jc w:val="both"/>
        <w:rPr>
          <w:rFonts w:ascii="Times New Roman" w:hAnsi="Times New Roman"/>
          <w:sz w:val="20"/>
        </w:rPr>
      </w:pPr>
      <w:r>
        <w:rPr>
          <w:rFonts w:ascii="Times New Roman;serif" w:hAnsi="Times New Roman;serif"/>
          <w:b w:val="false"/>
          <w:sz w:val="24"/>
        </w:rPr>
        <w:t>Taysha Gene Therapies, Inc. (the “</w:t>
      </w:r>
      <w:r>
        <w:rPr>
          <w:rFonts w:ascii="Times New Roman;serif" w:hAnsi="Times New Roman;serif"/>
          <w:b/>
          <w:sz w:val="24"/>
        </w:rPr>
        <w:t>Company</w:t>
      </w:r>
      <w:r>
        <w:rPr>
          <w:rFonts w:ascii="Times New Roman" w:hAnsi="Times New Roman"/>
          <w:sz w:val="20"/>
        </w:rPr>
        <w:t>”</w:t>
      </w:r>
      <w:r>
        <w:rPr>
          <w:rFonts w:ascii="Times New Roman;serif" w:hAnsi="Times New Roman;serif"/>
          <w:b w:val="false"/>
          <w:sz w:val="24"/>
        </w:rPr>
        <w:t>) is pleased to offer you employment in the position of President and Head of Research and Development on the terms and conditions set forth in this letter agreement (the “</w:t>
      </w:r>
      <w:r>
        <w:rPr>
          <w:rFonts w:ascii="Times New Roman;serif" w:hAnsi="Times New Roman;serif"/>
          <w:b/>
          <w:sz w:val="24"/>
        </w:rPr>
        <w:t>Agreement</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p>
    <w:p>
      <w:pPr>
        <w:pStyle w:val="TextBody"/>
        <w:spacing w:before="0" w:after="240"/>
        <w:jc w:val="both"/>
        <w:rPr>
          <w:rFonts w:ascii="Times New Roman" w:hAnsi="Times New Roman"/>
          <w:b/>
          <w:caps/>
          <w:sz w:val="24"/>
        </w:rPr>
      </w:pPr>
      <w:r>
        <w:rPr>
          <w:rFonts w:ascii="Times New Roman" w:hAnsi="Times New Roman"/>
          <w:b/>
          <w:caps/>
          <w:sz w:val="24"/>
        </w:rPr>
        <w:t>1.</w:t>
      </w:r>
    </w:p>
    <w:p>
      <w:pPr>
        <w:pStyle w:val="TextBody"/>
        <w:spacing w:before="0" w:after="240"/>
        <w:jc w:val="both"/>
        <w:rPr/>
      </w:pPr>
      <w:r>
        <w:rPr>
          <w:rFonts w:ascii="Times New Roman;serif" w:hAnsi="Times New Roman;serif"/>
          <w:b/>
          <w:sz w:val="24"/>
        </w:rPr>
        <w:t>Employment by the Company.</w:t>
      </w:r>
      <w:r>
        <w:rPr/>
        <w:t xml:space="preserve"> </w:t>
      </w:r>
      <w:r>
        <w:rPr>
          <w:rFonts w:ascii="Times New Roman;serif" w:hAnsi="Times New Roman;serif"/>
          <w:b w:val="false"/>
          <w:sz w:val="24"/>
        </w:rPr>
        <w:t>Your employment with the Company began on December 16, 2022 (the “</w:t>
      </w:r>
      <w:r>
        <w:rPr>
          <w:rFonts w:ascii="Times New Roman;serif" w:hAnsi="Times New Roman;serif"/>
          <w:b/>
          <w:sz w:val="24"/>
        </w:rPr>
        <w:t>Start Date</w:t>
      </w:r>
      <w:r>
        <w:rPr/>
        <w:t>”</w:t>
      </w:r>
      <w:r>
        <w:rPr>
          <w:rFonts w:ascii="Times New Roman;serif" w:hAnsi="Times New Roman;serif"/>
          <w:b w:val="false"/>
          <w:sz w:val="24"/>
        </w:rPr>
        <w:t>). This is an exempt position, and during your employment with the Company, you will devote your best efforts and substantially all of your business time and attention to the business of the Company, except for the outside activities described in Section 6 and approved vacation periods and reasonable periods of illness or other incapacities permitted by the Company’s general employment policies. You shall perform such duties as are reasonably required by the Company’s Board of Directors (“</w:t>
      </w:r>
      <w:r>
        <w:rPr>
          <w:rFonts w:ascii="Times New Roman;serif" w:hAnsi="Times New Roman;serif"/>
          <w:b/>
          <w:sz w:val="24"/>
        </w:rPr>
        <w:t>Board</w:t>
      </w:r>
      <w:r>
        <w:rPr/>
        <w:t>”</w:t>
      </w:r>
      <w:r>
        <w:rPr>
          <w:rFonts w:ascii="Times New Roman;serif" w:hAnsi="Times New Roman;serif"/>
          <w:b w:val="false"/>
          <w:sz w:val="24"/>
        </w:rPr>
        <w:t>) and the Chief Executive Officer (“</w:t>
      </w:r>
      <w:r>
        <w:rPr>
          <w:rFonts w:ascii="Times New Roman;serif" w:hAnsi="Times New Roman;serif"/>
          <w:b/>
          <w:sz w:val="24"/>
        </w:rPr>
        <w:t>CEO</w:t>
      </w:r>
      <w:r>
        <w:rPr/>
        <w:t>”</w:t>
      </w:r>
      <w:r>
        <w:rPr>
          <w:rFonts w:ascii="Times New Roman;serif" w:hAnsi="Times New Roman;serif"/>
          <w:b w:val="false"/>
          <w:sz w:val="24"/>
        </w:rPr>
        <w:t xml:space="preserve">) consistent with your role as President and Head of Research and Development of the Company. You will report to the CEO. It is acknowledged that you are currently a member of the Board, serve on the Compensation Committee of the Board, and have been elected to hold office until the 2025 Annual Meeting of Stockholders. Notwithstanding anything in this Agreement to the contrary, in connection with your appointment to the role of President and Head of Research and Development, you will resign your position on the Compensation Committee but will retain your Board seat until the 2025 Annual Meeting of Stockholders unless you resign or are removed in accordance with the procedures set forth in the Company’s governing documents prior to such date. You represent to the Company that you are not subject to or a party to any employment agreement, non-competition covenant, or other agreement that would be breached by, or prohibit you from, executing this Agreement and performing fully your duties and responsibilities hereunder. While you may work remotely, you may be expected to spend an average of three (3) business days per week at the Company’s office located in Dallas, Texas. The Company reserves the right to reasonably require you to perform your duties at places other than your primary office location from time to time, and to require reasonable business travel. </w:t>
      </w:r>
    </w:p>
    <w:p>
      <w:pPr>
        <w:pStyle w:val="TextBody"/>
        <w:spacing w:before="0" w:after="240"/>
        <w:jc w:val="both"/>
        <w:rPr>
          <w:rFonts w:ascii="Times New Roman" w:hAnsi="Times New Roman"/>
          <w:b/>
          <w:caps/>
          <w:sz w:val="24"/>
        </w:rPr>
      </w:pPr>
      <w:r>
        <w:rPr>
          <w:rFonts w:ascii="Times New Roman" w:hAnsi="Times New Roman"/>
          <w:b/>
          <w:caps/>
          <w:sz w:val="24"/>
        </w:rPr>
        <w:t>2.</w:t>
      </w:r>
    </w:p>
    <w:p>
      <w:pPr>
        <w:pStyle w:val="TextBody"/>
        <w:spacing w:before="0" w:after="240"/>
        <w:jc w:val="both"/>
        <w:rPr>
          <w:rFonts w:ascii="Times New Roman;serif" w:hAnsi="Times New Roman;serif"/>
          <w:b/>
          <w:sz w:val="24"/>
        </w:rPr>
      </w:pPr>
      <w:r>
        <w:rPr>
          <w:rFonts w:ascii="Times New Roman;serif" w:hAnsi="Times New Roman;serif"/>
          <w:b/>
          <w:sz w:val="24"/>
        </w:rPr>
        <w:t>Compensation.</w:t>
      </w:r>
    </w:p>
    <w:p>
      <w:pPr>
        <w:pStyle w:val="TextBody"/>
        <w:spacing w:before="0" w:after="240"/>
        <w:jc w:val="both"/>
        <w:rPr>
          <w:rFonts w:ascii="Times New Roman" w:hAnsi="Times New Roman"/>
          <w:b/>
          <w:sz w:val="24"/>
        </w:rPr>
      </w:pPr>
      <w:r>
        <w:rPr>
          <w:rFonts w:ascii="Times New Roman" w:hAnsi="Times New Roman"/>
          <w:b/>
          <w:sz w:val="24"/>
        </w:rPr>
        <w:t>2.1</w:t>
      </w:r>
    </w:p>
    <w:p>
      <w:pPr>
        <w:pStyle w:val="TextBody"/>
        <w:spacing w:before="0" w:after="240"/>
        <w:jc w:val="both"/>
        <w:rPr/>
      </w:pPr>
      <w:r>
        <w:rPr>
          <w:rFonts w:ascii="Times New Roman;serif" w:hAnsi="Times New Roman;serif"/>
          <w:b/>
          <w:sz w:val="24"/>
        </w:rPr>
        <w:t>Base Salary.</w:t>
      </w:r>
      <w:r>
        <w:rPr/>
        <w:t xml:space="preserve"> </w:t>
      </w:r>
      <w:r>
        <w:rPr>
          <w:rFonts w:ascii="Times New Roman;serif" w:hAnsi="Times New Roman;serif"/>
          <w:b w:val="false"/>
          <w:sz w:val="24"/>
        </w:rPr>
        <w:t>For services to be rendered hereunder, you shall receive an annual base salary at the rate of no less than $565,000 per year (the “</w:t>
      </w:r>
      <w:r>
        <w:rPr>
          <w:rFonts w:ascii="Times New Roman;serif" w:hAnsi="Times New Roman;serif"/>
          <w:b/>
          <w:sz w:val="24"/>
        </w:rPr>
        <w:t>Base Salary</w:t>
      </w:r>
      <w:r>
        <w:rPr/>
        <w:t>”</w:t>
      </w:r>
      <w:r>
        <w:rPr>
          <w:rFonts w:ascii="Times New Roman;serif" w:hAnsi="Times New Roman;serif"/>
          <w:b w:val="false"/>
          <w:sz w:val="24"/>
        </w:rPr>
        <w:t>), subject to standard payroll deductions and withholdings and payable in accordance with the Company’s regular payroll schedule.</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sz w:val="24"/>
        </w:rPr>
      </w:pPr>
      <w:r>
        <w:rPr>
          <w:rFonts w:ascii="Times New Roman" w:hAnsi="Times New Roman"/>
          <w:b/>
          <w:sz w:val="24"/>
        </w:rPr>
        <w:t>2.2</w:t>
      </w:r>
    </w:p>
    <w:p>
      <w:pPr>
        <w:pStyle w:val="TextBody"/>
        <w:spacing w:before="0" w:after="240"/>
        <w:jc w:val="both"/>
        <w:rPr/>
      </w:pPr>
      <w:r>
        <w:rPr>
          <w:rFonts w:ascii="Times New Roman;serif" w:hAnsi="Times New Roman;serif"/>
          <w:b/>
          <w:sz w:val="24"/>
        </w:rPr>
        <w:t>Annual Bonus.</w:t>
      </w:r>
      <w:r>
        <w:rPr/>
        <w:t xml:space="preserve"> </w:t>
      </w:r>
      <w:r>
        <w:rPr>
          <w:rFonts w:ascii="Times New Roman;serif" w:hAnsi="Times New Roman;serif"/>
          <w:b w:val="false"/>
          <w:sz w:val="24"/>
        </w:rPr>
        <w:t>Beginning in calendar year 2023, you will be eligible for an annual discretionary performance bonus with a target amount of up to</w:t>
      </w:r>
      <w:r>
        <w:rPr/>
        <w:t xml:space="preserve"> </w:t>
      </w:r>
      <w:r>
        <w:rPr>
          <w:rFonts w:ascii="Times New Roman;serif" w:hAnsi="Times New Roman;serif"/>
          <w:b w:val="false"/>
          <w:sz w:val="24"/>
        </w:rPr>
        <w:t xml:space="preserve">50% of your then current annual Base Salary (the </w:t>
      </w:r>
      <w:r>
        <w:rPr/>
        <w:t>“</w:t>
      </w:r>
      <w:r>
        <w:rPr>
          <w:rFonts w:ascii="Times New Roman;serif" w:hAnsi="Times New Roman;serif"/>
          <w:b/>
          <w:sz w:val="24"/>
        </w:rPr>
        <w:t>Annual Bonus”</w:t>
      </w:r>
      <w:r>
        <w:rPr>
          <w:rFonts w:ascii="Times New Roman;serif" w:hAnsi="Times New Roman;serif"/>
          <w:b w:val="false"/>
          <w:sz w:val="24"/>
        </w:rPr>
        <w:t>). Whether you receive an Annual Bonus for any given year, and the amount of any such Annual Bonus, will be determined by the Board in its discretion based upon its assessment of the Company’s and your individual performance, and any other criteria that the Board deems relevant. The performance goals to which the annual bonus relates will be set in advance in writing and revised annually, semi-annually, or quarterly by the Compensation Committee in consultation with you. The Compensation Committee will inform you of the performance goals and his attainment toward such goals upon your reasonable request. You must continue to be employed through the date the Annual Bonus is paid in order to earn such bonus. The Annual Bonus, if any, shall be paid to you in a lump sum no later than March 15</w:t>
      </w:r>
      <w:r>
        <w:rPr>
          <w:rFonts w:ascii="Times New Roman;serif" w:hAnsi="Times New Roman;serif"/>
          <w:b w:val="false"/>
          <w:sz w:val="16"/>
        </w:rPr>
        <w:t>th</w:t>
      </w:r>
      <w:r>
        <w:rPr/>
        <w:t xml:space="preserve"> </w:t>
      </w:r>
      <w:r>
        <w:rPr>
          <w:rFonts w:ascii="Times New Roman;serif" w:hAnsi="Times New Roman;serif"/>
          <w:b w:val="false"/>
          <w:sz w:val="24"/>
        </w:rPr>
        <w:t>of the calendar year that follows the applicable performance year, subject to applicable payroll deductions and withholdings.</w:t>
      </w:r>
    </w:p>
    <w:p>
      <w:pPr>
        <w:pStyle w:val="TextBody"/>
        <w:spacing w:before="0" w:after="240"/>
        <w:jc w:val="both"/>
        <w:rPr>
          <w:rFonts w:ascii="Times New Roman" w:hAnsi="Times New Roman"/>
          <w:b/>
          <w:sz w:val="24"/>
        </w:rPr>
      </w:pPr>
      <w:r>
        <w:rPr>
          <w:rFonts w:ascii="Times New Roman" w:hAnsi="Times New Roman"/>
          <w:b/>
          <w:sz w:val="24"/>
        </w:rPr>
        <w:t>2.3</w:t>
      </w:r>
    </w:p>
    <w:p>
      <w:pPr>
        <w:pStyle w:val="TextBody"/>
        <w:spacing w:before="0" w:after="240"/>
        <w:jc w:val="both"/>
        <w:rPr/>
      </w:pPr>
      <w:r>
        <w:rPr>
          <w:rFonts w:ascii="Times New Roman;serif" w:hAnsi="Times New Roman;serif"/>
          <w:b/>
          <w:sz w:val="24"/>
        </w:rPr>
        <w:t>Equity</w:t>
      </w:r>
      <w:r>
        <w:rPr>
          <w:rFonts w:ascii="Times New Roman;serif" w:hAnsi="Times New Roman;serif"/>
          <w:b w:val="false"/>
          <w:sz w:val="24"/>
        </w:rPr>
        <w:t>. Subject to approval by the Company’s Board of Directors (the “</w:t>
      </w:r>
      <w:r>
        <w:rPr>
          <w:rFonts w:ascii="Times New Roman;serif" w:hAnsi="Times New Roman;serif"/>
          <w:b/>
          <w:sz w:val="24"/>
        </w:rPr>
        <w:t>Board</w:t>
      </w:r>
      <w:r>
        <w:rPr/>
        <w:t>”</w:t>
      </w:r>
      <w:r>
        <w:rPr>
          <w:rFonts w:ascii="Times New Roman;serif" w:hAnsi="Times New Roman;serif"/>
          <w:b w:val="false"/>
          <w:sz w:val="24"/>
        </w:rPr>
        <w:t>), the Company shall grant you an option to purchase 790,093 shares of Common Stock in the Company at the fair market value on the date of grant (the “</w:t>
      </w:r>
      <w:r>
        <w:rPr>
          <w:rFonts w:ascii="Times New Roman;serif" w:hAnsi="Times New Roman;serif"/>
          <w:b/>
          <w:sz w:val="24"/>
        </w:rPr>
        <w:t>Grant</w:t>
      </w:r>
      <w:r>
        <w:rPr/>
        <w:t>”</w:t>
      </w:r>
      <w:r>
        <w:rPr>
          <w:rFonts w:ascii="Times New Roman;serif" w:hAnsi="Times New Roman;serif"/>
          <w:b w:val="false"/>
          <w:sz w:val="24"/>
        </w:rPr>
        <w:t>). The anticipated Grant will be governed by the terms and conditions of the Company’s applicable equity incentive plan (the “</w:t>
      </w:r>
      <w:r>
        <w:rPr>
          <w:rFonts w:ascii="Times New Roman;serif" w:hAnsi="Times New Roman;serif"/>
          <w:b/>
          <w:sz w:val="24"/>
        </w:rPr>
        <w:t>Plan</w:t>
      </w:r>
      <w:r>
        <w:rPr/>
        <w:t>”</w:t>
      </w:r>
      <w:r>
        <w:rPr>
          <w:rFonts w:ascii="Times New Roman;serif" w:hAnsi="Times New Roman;serif"/>
          <w:b w:val="false"/>
          <w:sz w:val="24"/>
        </w:rPr>
        <w:t xml:space="preserve">) and your grant agreement, and will include the following vesting schedule: 12/48ths of the total shares will vest on the one year anniversary of the vesting commencement date, and 1/48th of the total shares will vest each month thereafter on the same day of the month as the vesting commencement date (or if there is no corresponding day, on the last day of the month), subject to your Continuous Service (as defined in the Plan) as of each such date. </w:t>
      </w:r>
    </w:p>
    <w:p>
      <w:pPr>
        <w:pStyle w:val="TextBody"/>
        <w:spacing w:before="0" w:after="240"/>
        <w:jc w:val="both"/>
        <w:rPr>
          <w:rFonts w:ascii="Times New Roman" w:hAnsi="Times New Roman"/>
          <w:b/>
          <w:caps/>
          <w:sz w:val="24"/>
        </w:rPr>
      </w:pPr>
      <w:r>
        <w:rPr>
          <w:rFonts w:ascii="Times New Roman" w:hAnsi="Times New Roman"/>
          <w:b/>
          <w:caps/>
          <w:sz w:val="24"/>
        </w:rPr>
        <w:t>3.</w:t>
      </w:r>
    </w:p>
    <w:p>
      <w:pPr>
        <w:pStyle w:val="TextBody"/>
        <w:spacing w:before="0" w:after="240"/>
        <w:jc w:val="both"/>
        <w:rPr/>
      </w:pPr>
      <w:r>
        <w:rPr>
          <w:rFonts w:ascii="Times New Roman;serif" w:hAnsi="Times New Roman;serif"/>
          <w:b/>
          <w:sz w:val="24"/>
        </w:rPr>
        <w:t>Reasonable Business Expenses.</w:t>
      </w:r>
      <w:r>
        <w:rPr/>
        <w:t xml:space="preserve"> </w:t>
      </w:r>
      <w:r>
        <w:rPr>
          <w:rFonts w:ascii="Times New Roman;serif" w:hAnsi="Times New Roman;serif"/>
          <w:b w:val="false"/>
          <w:sz w:val="24"/>
        </w:rPr>
        <w:t xml:space="preserve">You will be eligible for reimbursement of all reasonable, necessary and documented out-of-pocket business, entertainment, lodging and travel expenses (including but not limited to the cost of weekly commercial airline travel to and from the Company’s office located in Dallas, Texas, and the cost of hotels or lodging when traveling for business under this Agreement) incurred by you in connection with the performance of your duties hereunder in accordance with the Company's expense reimbursement policies and procedures. </w:t>
      </w:r>
    </w:p>
    <w:p>
      <w:pPr>
        <w:pStyle w:val="TextBody"/>
        <w:spacing w:before="0" w:after="240"/>
        <w:jc w:val="both"/>
        <w:rPr>
          <w:rFonts w:ascii="Times New Roman" w:hAnsi="Times New Roman"/>
          <w:b/>
          <w:caps/>
          <w:sz w:val="24"/>
        </w:rPr>
      </w:pPr>
      <w:r>
        <w:rPr>
          <w:rFonts w:ascii="Times New Roman" w:hAnsi="Times New Roman"/>
          <w:b/>
          <w:caps/>
          <w:sz w:val="24"/>
        </w:rPr>
        <w:t>4.</w:t>
      </w:r>
    </w:p>
    <w:p>
      <w:pPr>
        <w:pStyle w:val="TextBody"/>
        <w:spacing w:before="0" w:after="240"/>
        <w:jc w:val="both"/>
        <w:rPr/>
      </w:pPr>
      <w:r>
        <w:rPr>
          <w:rFonts w:ascii="Times New Roman;serif" w:hAnsi="Times New Roman;serif"/>
          <w:b/>
          <w:sz w:val="24"/>
        </w:rPr>
        <w:t>Company Policies; Standard Company Benefits</w:t>
      </w:r>
      <w:r>
        <w:rPr>
          <w:rFonts w:ascii="Times New Roman;serif" w:hAnsi="Times New Roman;serif"/>
          <w:b w:val="false"/>
          <w:sz w:val="24"/>
        </w:rPr>
        <w:t xml:space="preserve">. The employment relationship between the parties shall be governed by the general employment policies and practices of the Company, except that when the terms of this Agreement differ from or are in conflict with the Company’s general employment policies or practices, this Agreement shall control. You shall be entitled to participate in all employee benefit programs for which you are eligible under the terms and conditions of the benefit plans that may be in effect from time to time and provided by the Company to its employees and in all cases shall participate in such benefit plans on terms and conditions no less favorable than the Company’s Chief Executive Officer, with the exception of severance benefits pursuant to a Change in Control Severance Plan and this Agreement. The Company reserves the right to cancel or change the benefit plans or programs it offers to its employees at any time. </w:t>
      </w:r>
    </w:p>
    <w:p>
      <w:pPr>
        <w:pStyle w:val="TextBody"/>
        <w:spacing w:before="0" w:after="240"/>
        <w:jc w:val="both"/>
        <w:rPr>
          <w:rFonts w:ascii="Times New Roman" w:hAnsi="Times New Roman"/>
          <w:b/>
          <w:caps/>
          <w:sz w:val="24"/>
        </w:rPr>
      </w:pPr>
      <w:r>
        <w:rPr>
          <w:rFonts w:ascii="Times New Roman" w:hAnsi="Times New Roman"/>
          <w:b/>
          <w:caps/>
          <w:sz w:val="24"/>
        </w:rPr>
        <w:t>5.</w:t>
      </w:r>
    </w:p>
    <w:p>
      <w:pPr>
        <w:pStyle w:val="TextBody"/>
        <w:spacing w:before="0" w:after="240"/>
        <w:jc w:val="both"/>
        <w:rPr/>
      </w:pPr>
      <w:r>
        <w:rPr>
          <w:rFonts w:ascii="Times New Roman;serif" w:hAnsi="Times New Roman;serif"/>
          <w:b/>
          <w:sz w:val="24"/>
        </w:rPr>
        <w:t>At-Will Employment.</w:t>
      </w:r>
      <w:r>
        <w:rPr/>
        <w:t xml:space="preserve"> </w:t>
      </w:r>
      <w:r>
        <w:rPr>
          <w:rFonts w:ascii="Times New Roman;serif" w:hAnsi="Times New Roman;serif"/>
          <w:b w:val="false"/>
          <w:sz w:val="24"/>
        </w:rPr>
        <w:t xml:space="preserve">Your employment relationship is at-will. Either you or the Company may terminate the employment relationship at any time, with or without cause or advance notice. Upon termination of your employment for any reason, you shall resign from all positions and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both"/>
        <w:rPr/>
      </w:pPr>
      <w:r>
        <w:rPr>
          <w:rFonts w:ascii="Times New Roman;serif" w:hAnsi="Times New Roman;serif"/>
          <w:b w:val="false"/>
          <w:sz w:val="24"/>
        </w:rPr>
        <w:t>terminate any relationships as an employee, advisor, officer or director with the Company and any of its affiliates, each effective on the date of termination.</w:t>
      </w:r>
      <w:r>
        <w:rPr/>
        <w:t xml:space="preserve"> </w:t>
      </w:r>
    </w:p>
    <w:p>
      <w:pPr>
        <w:pStyle w:val="TextBody"/>
        <w:spacing w:before="0" w:after="240"/>
        <w:jc w:val="both"/>
        <w:rPr>
          <w:rFonts w:ascii="Times New Roman" w:hAnsi="Times New Roman"/>
          <w:b/>
          <w:caps/>
          <w:sz w:val="24"/>
        </w:rPr>
      </w:pPr>
      <w:r>
        <w:rPr>
          <w:rFonts w:ascii="Times New Roman" w:hAnsi="Times New Roman"/>
          <w:b/>
          <w:caps/>
          <w:sz w:val="24"/>
        </w:rPr>
        <w:t>6.</w:t>
      </w:r>
    </w:p>
    <w:p>
      <w:pPr>
        <w:pStyle w:val="TextBody"/>
        <w:spacing w:before="0" w:after="240"/>
        <w:jc w:val="both"/>
        <w:rPr/>
      </w:pPr>
      <w:r>
        <w:rPr>
          <w:rFonts w:ascii="Times New Roman;serif" w:hAnsi="Times New Roman;serif"/>
          <w:b/>
          <w:sz w:val="24"/>
        </w:rPr>
        <w:t>Outside Activities During Employment.</w:t>
      </w:r>
      <w:r>
        <w:rPr/>
        <w:t xml:space="preserve"> </w:t>
      </w:r>
      <w:r>
        <w:rPr>
          <w:rFonts w:ascii="Times New Roman;serif" w:hAnsi="Times New Roman;serif"/>
          <w:b w:val="false"/>
          <w:sz w:val="24"/>
        </w:rPr>
        <w:t xml:space="preserve">Except with the prior written consent of the Board, you will not during the term of your employment with the Company undertake or engage in any other employment, occupation or business enterprise, other than ones in which you are a passive investor. You may engage in civic and not-for-profit activities so long as such activities do not create a conflict of interest or materially interfere with the performance of your duties hereunder. You agree not to acquire, assume or participate in, directly or indirectly, any position, investment or interest known to be adverse or antagonistic to the Company, its business or prospects, financial or otherwise. Notwithstanding the foregoing, the Company acknowledges and consents to your involvement with the business and charitable activities set forth on the attached </w:t>
      </w:r>
      <w:r>
        <w:rPr>
          <w:rFonts w:ascii="Times New Roman;serif" w:hAnsi="Times New Roman;serif"/>
          <w:b/>
          <w:sz w:val="24"/>
          <w:u w:val="single"/>
        </w:rPr>
        <w:t>Exhibit A</w:t>
      </w:r>
      <w:r>
        <w:rPr>
          <w:rFonts w:ascii="Times New Roman;serif" w:hAnsi="Times New Roman;serif"/>
          <w:b w:val="false"/>
          <w:sz w:val="24"/>
        </w:rPr>
        <w:t xml:space="preserve">. </w:t>
      </w:r>
    </w:p>
    <w:p>
      <w:pPr>
        <w:pStyle w:val="TextBody"/>
        <w:spacing w:before="0" w:after="240"/>
        <w:jc w:val="both"/>
        <w:rPr>
          <w:rFonts w:ascii="Times New Roman" w:hAnsi="Times New Roman"/>
          <w:b/>
          <w:caps/>
          <w:sz w:val="24"/>
        </w:rPr>
      </w:pPr>
      <w:r>
        <w:rPr>
          <w:rFonts w:ascii="Times New Roman" w:hAnsi="Times New Roman"/>
          <w:b/>
          <w:caps/>
          <w:sz w:val="24"/>
        </w:rPr>
        <w:t>7.</w:t>
      </w:r>
    </w:p>
    <w:p>
      <w:pPr>
        <w:pStyle w:val="TextBody"/>
        <w:spacing w:before="0" w:after="240"/>
        <w:jc w:val="both"/>
        <w:rPr>
          <w:rFonts w:ascii="Times New Roman;serif" w:hAnsi="Times New Roman;serif"/>
          <w:b/>
          <w:sz w:val="24"/>
        </w:rPr>
      </w:pPr>
      <w:r>
        <w:rPr>
          <w:rFonts w:ascii="Times New Roman;serif" w:hAnsi="Times New Roman;serif"/>
          <w:b/>
          <w:sz w:val="24"/>
        </w:rPr>
        <w:t>Termination; Severance.</w:t>
      </w:r>
    </w:p>
    <w:p>
      <w:pPr>
        <w:pStyle w:val="TextBody"/>
        <w:spacing w:before="0" w:after="240"/>
        <w:jc w:val="both"/>
        <w:rPr>
          <w:rFonts w:ascii="Times New Roman" w:hAnsi="Times New Roman"/>
          <w:b/>
          <w:sz w:val="24"/>
        </w:rPr>
      </w:pPr>
      <w:r>
        <w:rPr>
          <w:rFonts w:ascii="Times New Roman" w:hAnsi="Times New Roman"/>
          <w:b/>
          <w:sz w:val="24"/>
        </w:rPr>
        <w:t>7.1</w:t>
      </w:r>
    </w:p>
    <w:p>
      <w:pPr>
        <w:pStyle w:val="TextBody"/>
        <w:spacing w:before="0" w:after="240"/>
        <w:jc w:val="both"/>
        <w:rPr/>
      </w:pPr>
      <w:r>
        <w:rPr>
          <w:rFonts w:ascii="Times New Roman;serif" w:hAnsi="Times New Roman;serif"/>
          <w:b/>
          <w:sz w:val="24"/>
        </w:rPr>
        <w:t>Compensation upon Termination.</w:t>
      </w:r>
      <w:r>
        <w:rPr/>
        <w:t xml:space="preserve"> </w:t>
      </w:r>
      <w:r>
        <w:rPr>
          <w:rFonts w:ascii="Times New Roman;serif" w:hAnsi="Times New Roman;serif"/>
          <w:b w:val="false"/>
          <w:sz w:val="24"/>
        </w:rPr>
        <w:t>Upon the termination of your employment for any reason, the Company shall pay you all of your accrued and unpaid wages earned through your last day of employment (the “</w:t>
      </w:r>
      <w:r>
        <w:rPr>
          <w:rFonts w:ascii="Times New Roman;serif" w:hAnsi="Times New Roman;serif"/>
          <w:b/>
          <w:sz w:val="24"/>
        </w:rPr>
        <w:t>Separation Date</w:t>
      </w:r>
      <w:r>
        <w:rPr/>
        <w:t>”</w:t>
      </w:r>
      <w:r>
        <w:rPr>
          <w:rFonts w:ascii="Times New Roman;serif" w:hAnsi="Times New Roman;serif"/>
          <w:b w:val="false"/>
          <w:sz w:val="24"/>
        </w:rPr>
        <w:t>).</w:t>
      </w:r>
    </w:p>
    <w:p>
      <w:pPr>
        <w:pStyle w:val="TextBody"/>
        <w:spacing w:before="0" w:after="240"/>
        <w:jc w:val="both"/>
        <w:rPr>
          <w:rFonts w:ascii="Times New Roman" w:hAnsi="Times New Roman"/>
          <w:b/>
          <w:sz w:val="24"/>
        </w:rPr>
      </w:pPr>
      <w:r>
        <w:rPr>
          <w:rFonts w:ascii="Times New Roman" w:hAnsi="Times New Roman"/>
          <w:b/>
          <w:sz w:val="24"/>
        </w:rPr>
        <w:t>7.2</w:t>
      </w:r>
    </w:p>
    <w:p>
      <w:pPr>
        <w:pStyle w:val="TextBody"/>
        <w:spacing w:before="0" w:after="240"/>
        <w:jc w:val="both"/>
        <w:rPr/>
      </w:pPr>
      <w:r>
        <w:rPr>
          <w:rFonts w:ascii="Times New Roman;serif" w:hAnsi="Times New Roman;serif"/>
          <w:b/>
          <w:sz w:val="24"/>
        </w:rPr>
        <w:t xml:space="preserve">Involuntary Termination. </w:t>
      </w:r>
      <w:r>
        <w:rPr>
          <w:rFonts w:ascii="Times New Roman;serif" w:hAnsi="Times New Roman;serif"/>
          <w:b w:val="false"/>
          <w:sz w:val="24"/>
        </w:rPr>
        <w:t>If you are subject to an Involuntary Termination and provided that you remain in compliance with the terms of this Agreement (including the conditions described in Section 8.4 below), the Company shall provide you with the following benefits (the “</w:t>
      </w:r>
      <w:r>
        <w:rPr>
          <w:rFonts w:ascii="Times New Roman;serif" w:hAnsi="Times New Roman;serif"/>
          <w:b/>
          <w:sz w:val="24"/>
        </w:rPr>
        <w:t>Severance Benefits</w:t>
      </w:r>
      <w:r>
        <w:rPr/>
        <w:t>”</w:t>
      </w:r>
      <w:r>
        <w:rPr>
          <w:rFonts w:ascii="Times New Roman;serif" w:hAnsi="Times New Roman;serif"/>
          <w:b w:val="false"/>
          <w:sz w:val="24"/>
        </w:rPr>
        <w:t xml:space="preserve">): </w:t>
      </w:r>
    </w:p>
    <w:p>
      <w:pPr>
        <w:pStyle w:val="TextBody"/>
        <w:spacing w:before="0" w:after="240"/>
        <w:jc w:val="both"/>
        <w:rPr>
          <w:rFonts w:ascii="Times New Roman" w:hAnsi="Times New Roman"/>
          <w:b/>
          <w:sz w:val="24"/>
        </w:rPr>
      </w:pPr>
      <w:r>
        <w:rPr>
          <w:rFonts w:ascii="Times New Roman" w:hAnsi="Times New Roman"/>
          <w:b/>
          <w:sz w:val="24"/>
        </w:rPr>
        <w:t>(a)</w:t>
      </w:r>
    </w:p>
    <w:p>
      <w:pPr>
        <w:pStyle w:val="TextBody"/>
        <w:spacing w:before="0" w:after="240"/>
        <w:jc w:val="both"/>
        <w:rPr/>
      </w:pPr>
      <w:r>
        <w:rPr>
          <w:rFonts w:ascii="Times New Roman;serif" w:hAnsi="Times New Roman;serif"/>
          <w:b/>
          <w:sz w:val="24"/>
        </w:rPr>
        <w:t xml:space="preserve">Cash Severance. </w:t>
      </w:r>
      <w:r>
        <w:rPr>
          <w:rFonts w:ascii="Times New Roman;serif" w:hAnsi="Times New Roman;serif"/>
          <w:b w:val="false"/>
          <w:sz w:val="24"/>
        </w:rPr>
        <w:t>The Company shall pay you, as severance, the equivalent of twelve (12) months (the “</w:t>
      </w:r>
      <w:r>
        <w:rPr>
          <w:rFonts w:ascii="Times New Roman;serif" w:hAnsi="Times New Roman;serif"/>
          <w:b/>
          <w:sz w:val="24"/>
        </w:rPr>
        <w:t>Severance Period</w:t>
      </w:r>
      <w:r>
        <w:rPr/>
        <w:t>”</w:t>
      </w:r>
      <w:r>
        <w:rPr>
          <w:rFonts w:ascii="Times New Roman;serif" w:hAnsi="Times New Roman;serif"/>
          <w:b w:val="false"/>
          <w:sz w:val="24"/>
        </w:rPr>
        <w:t>) of your Base Salary in effect as of the Separation Date, subject to standard payroll deductions and withholdings (the “</w:t>
      </w:r>
      <w:r>
        <w:rPr>
          <w:rFonts w:ascii="Times New Roman;serif" w:hAnsi="Times New Roman;serif"/>
          <w:b/>
          <w:sz w:val="24"/>
        </w:rPr>
        <w:t>Severance</w:t>
      </w:r>
      <w:r>
        <w:rPr/>
        <w:t>”</w:t>
      </w:r>
      <w:r>
        <w:rPr>
          <w:rFonts w:ascii="Times New Roman;serif" w:hAnsi="Times New Roman;serif"/>
          <w:b w:val="false"/>
          <w:sz w:val="24"/>
        </w:rPr>
        <w:t>). The Severance will be paid as a continuation on the Company’s regular payroll, beginning no later than the first regularly-scheduled payroll date following the sixtieth (60</w:t>
      </w:r>
      <w:r>
        <w:rPr>
          <w:rFonts w:ascii="Times New Roman;serif" w:hAnsi="Times New Roman;serif"/>
          <w:b w:val="false"/>
          <w:sz w:val="16"/>
        </w:rPr>
        <w:t>th</w:t>
      </w:r>
      <w:r>
        <w:rPr>
          <w:rFonts w:ascii="Times New Roman;serif" w:hAnsi="Times New Roman;serif"/>
          <w:b w:val="false"/>
          <w:sz w:val="24"/>
        </w:rPr>
        <w:t>) day after your Separation from Service, provided the Separation Agreement (as discussed in Section 8.4) has become effective.</w:t>
      </w:r>
    </w:p>
    <w:p>
      <w:pPr>
        <w:pStyle w:val="TextBody"/>
        <w:spacing w:before="0" w:after="240"/>
        <w:jc w:val="both"/>
        <w:rPr>
          <w:rFonts w:ascii="Times New Roman" w:hAnsi="Times New Roman"/>
          <w:b/>
          <w:sz w:val="24"/>
        </w:rPr>
      </w:pPr>
      <w:r>
        <w:rPr>
          <w:rFonts w:ascii="Times New Roman" w:hAnsi="Times New Roman"/>
          <w:b/>
          <w:sz w:val="24"/>
        </w:rPr>
        <w:t>(b)</w:t>
      </w:r>
    </w:p>
    <w:p>
      <w:pPr>
        <w:pStyle w:val="TextBody"/>
        <w:spacing w:before="0" w:after="240"/>
        <w:jc w:val="both"/>
        <w:rPr/>
      </w:pPr>
      <w:r>
        <w:rPr>
          <w:rFonts w:ascii="Times New Roman;serif" w:hAnsi="Times New Roman;serif"/>
          <w:b/>
          <w:sz w:val="24"/>
        </w:rPr>
        <w:t xml:space="preserve">Payment of Continued Group Health Plan Benefits. </w:t>
      </w:r>
      <w:r>
        <w:rPr>
          <w:rFonts w:ascii="Times New Roman;serif" w:hAnsi="Times New Roman;serif"/>
          <w:b w:val="false"/>
          <w:sz w:val="24"/>
        </w:rPr>
        <w:t>If you are eligible for and timely elect continued group health plan coverage under the Consolidated Omnibus Budget Reconciliation Act of 1985 or any state law of similar effect (“</w:t>
      </w:r>
      <w:r>
        <w:rPr>
          <w:rFonts w:ascii="Times New Roman;serif" w:hAnsi="Times New Roman;serif"/>
          <w:b/>
          <w:sz w:val="24"/>
        </w:rPr>
        <w:t>COBRA</w:t>
      </w:r>
      <w:r>
        <w:rPr/>
        <w:t>”</w:t>
      </w:r>
      <w:r>
        <w:rPr>
          <w:rFonts w:ascii="Times New Roman;serif" w:hAnsi="Times New Roman;serif"/>
          <w:b w:val="false"/>
          <w:sz w:val="24"/>
        </w:rPr>
        <w:t>) following your Involuntary Termination, the Company will (in the Company’s election) either pay directly or reimburse you for your COBRA group health insurance premiums for you and your eligible dependents directly to the insurer until the earliest of (A) twelve (12) months after the date of your Involuntary Termination, (B) the expiration of your eligibility for continuation coverage under COBRA, or (C) the date when you become eligible for substantially equivalent health insurance coverage in connection with new employment or self-employment (the “</w:t>
      </w:r>
      <w:r>
        <w:rPr>
          <w:rFonts w:ascii="Times New Roman;serif" w:hAnsi="Times New Roman;serif"/>
          <w:b/>
          <w:sz w:val="24"/>
        </w:rPr>
        <w:t>COBRA Payment Period</w:t>
      </w:r>
      <w:r>
        <w:rPr/>
        <w:t>”</w:t>
      </w:r>
      <w:r>
        <w:rPr>
          <w:rFonts w:ascii="Times New Roman;serif" w:hAnsi="Times New Roman;serif"/>
          <w:b w:val="false"/>
          <w:sz w:val="24"/>
        </w:rPr>
        <w:t xml:space="preserve">).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COBRA Payment Period, a fully taxable cash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both"/>
        <w:rPr/>
      </w:pPr>
      <w:r>
        <w:rPr>
          <w:rFonts w:ascii="Times New Roman;serif" w:hAnsi="Times New Roman;serif"/>
          <w:b w:val="false"/>
          <w:sz w:val="24"/>
        </w:rPr>
        <w:t>payment equal to the COBRA premiums for that month, subject to applicable tax withholdings (such amount, the “</w:t>
      </w:r>
      <w:r>
        <w:rPr>
          <w:rFonts w:ascii="Times New Roman;serif" w:hAnsi="Times New Roman;serif"/>
          <w:b/>
          <w:sz w:val="24"/>
        </w:rPr>
        <w:t>Special Severance Payment</w:t>
      </w:r>
      <w:r>
        <w:rPr/>
        <w:t>”</w:t>
      </w:r>
      <w:r>
        <w:rPr>
          <w:rFonts w:ascii="Times New Roman;serif" w:hAnsi="Times New Roman;serif"/>
          <w:b w:val="false"/>
          <w:sz w:val="24"/>
        </w:rPr>
        <w:t>). No payments of any COBRA premiums will be made until after the effectiveness of the Separation Agreement, and at such time the Company will make pay or reimburse the aggregate amount of payments that the Company would have paid through such date had such payments instead commenced on the Separation Date,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p>
    <w:p>
      <w:pPr>
        <w:pStyle w:val="TextBody"/>
        <w:spacing w:before="0" w:after="240"/>
        <w:jc w:val="both"/>
        <w:rPr>
          <w:rFonts w:ascii="Times New Roman" w:hAnsi="Times New Roman"/>
          <w:b/>
          <w:sz w:val="24"/>
        </w:rPr>
      </w:pPr>
      <w:r>
        <w:rPr>
          <w:rFonts w:ascii="Times New Roman" w:hAnsi="Times New Roman"/>
          <w:b/>
          <w:sz w:val="24"/>
        </w:rPr>
        <w:t>7.3</w:t>
      </w:r>
    </w:p>
    <w:p>
      <w:pPr>
        <w:pStyle w:val="TextBody"/>
        <w:spacing w:before="0" w:after="240"/>
        <w:jc w:val="both"/>
        <w:rPr/>
      </w:pPr>
      <w:r>
        <w:rPr>
          <w:rFonts w:ascii="Times New Roman;serif" w:hAnsi="Times New Roman;serif"/>
          <w:b/>
          <w:sz w:val="24"/>
        </w:rPr>
        <w:t>Involuntary Termination in Connection with a Change in Control.</w:t>
      </w:r>
      <w:r>
        <w:rPr/>
        <w:t xml:space="preserve"> </w:t>
      </w:r>
      <w:r>
        <w:rPr>
          <w:rFonts w:ascii="Times New Roman;serif" w:hAnsi="Times New Roman;serif"/>
          <w:b w:val="false"/>
          <w:sz w:val="24"/>
        </w:rPr>
        <w:t xml:space="preserve">You will be eligible to participate in the Company's Change in Control Severance Plan applicable to you. For the avoidance of doubt, under no circumstances will you be entitled to receive the severance benefits set forth under Section 7.2 herein in addition to severance benefits under the Change in Control Severance Plan. </w:t>
      </w:r>
    </w:p>
    <w:p>
      <w:pPr>
        <w:pStyle w:val="TextBody"/>
        <w:spacing w:before="0" w:after="240"/>
        <w:jc w:val="both"/>
        <w:rPr>
          <w:rFonts w:ascii="Times New Roman" w:hAnsi="Times New Roman"/>
          <w:b/>
          <w:sz w:val="24"/>
        </w:rPr>
      </w:pPr>
      <w:r>
        <w:rPr>
          <w:rFonts w:ascii="Times New Roman" w:hAnsi="Times New Roman"/>
          <w:b/>
          <w:sz w:val="24"/>
        </w:rPr>
        <w:t>7.4</w:t>
      </w:r>
    </w:p>
    <w:p>
      <w:pPr>
        <w:pStyle w:val="TextBody"/>
        <w:spacing w:before="0" w:after="240"/>
        <w:jc w:val="both"/>
        <w:rPr/>
      </w:pPr>
      <w:r>
        <w:rPr>
          <w:rFonts w:ascii="Times New Roman;serif" w:hAnsi="Times New Roman;serif"/>
          <w:b/>
          <w:sz w:val="24"/>
        </w:rPr>
        <w:t xml:space="preserve">Termination for Cause; Resignation Without Good Reason; Death or Disability. </w:t>
      </w:r>
      <w:r>
        <w:rPr>
          <w:rFonts w:ascii="Times New Roman;serif" w:hAnsi="Times New Roman;serif"/>
          <w:b w:val="false"/>
          <w:sz w:val="24"/>
        </w:rPr>
        <w:t>If you resign your employment without Good Reason, the Company terminates your employment for Cause, your employment terminates for any other reason not constituting an Involuntary Termination (as defined herein), or upon dissolution or cessation of the Company, or upon your death or disability, then (a) you will no longer vest in the Grant, (b) all payments of compensation by the Company to you hereunder will terminate immediately (except as to amounts already earned), and (c) you will not be entitled to any Severance Benefits.</w:t>
      </w:r>
    </w:p>
    <w:p>
      <w:pPr>
        <w:pStyle w:val="TextBody"/>
        <w:spacing w:before="0" w:after="240"/>
        <w:jc w:val="both"/>
        <w:rPr>
          <w:rFonts w:ascii="Times New Roman" w:hAnsi="Times New Roman"/>
          <w:b/>
          <w:sz w:val="24"/>
        </w:rPr>
      </w:pPr>
      <w:r>
        <w:rPr>
          <w:rFonts w:ascii="Times New Roman" w:hAnsi="Times New Roman"/>
          <w:b/>
          <w:sz w:val="24"/>
        </w:rPr>
        <w:t>7.5</w:t>
      </w:r>
    </w:p>
    <w:p>
      <w:pPr>
        <w:pStyle w:val="TextBody"/>
        <w:spacing w:before="0" w:after="240"/>
        <w:jc w:val="both"/>
        <w:rPr/>
      </w:pPr>
      <w:r>
        <w:rPr>
          <w:rFonts w:ascii="Times New Roman;serif" w:hAnsi="Times New Roman;serif"/>
          <w:b/>
          <w:sz w:val="24"/>
        </w:rPr>
        <w:t xml:space="preserve">Conditions to Receipt of Severance Benefits. </w:t>
      </w:r>
      <w:r>
        <w:rPr>
          <w:rFonts w:ascii="Times New Roman;serif" w:hAnsi="Times New Roman;serif"/>
          <w:b w:val="false"/>
          <w:sz w:val="24"/>
        </w:rPr>
        <w:t>The receipt of the Severance Benefits will be subject to you signing and not revoking a separation agreement and general mutual release of claims in a form reasonably satisfactory to the Company (the “</w:t>
      </w:r>
      <w:r>
        <w:rPr>
          <w:rFonts w:ascii="Times New Roman;serif" w:hAnsi="Times New Roman;serif"/>
          <w:b/>
          <w:sz w:val="24"/>
        </w:rPr>
        <w:t>Separation Agreement</w:t>
      </w:r>
      <w:r>
        <w:rPr/>
        <w:t>”</w:t>
      </w:r>
      <w:r>
        <w:rPr>
          <w:rFonts w:ascii="Times New Roman;serif" w:hAnsi="Times New Roman;serif"/>
          <w:b w:val="false"/>
          <w:sz w:val="24"/>
        </w:rPr>
        <w:t>) by no later than the sixtieth (60th) day after the Separation Date (“</w:t>
      </w:r>
      <w:r>
        <w:rPr>
          <w:rFonts w:ascii="Times New Roman;serif" w:hAnsi="Times New Roman;serif"/>
          <w:b/>
          <w:sz w:val="24"/>
        </w:rPr>
        <w:t>Release Deadline</w:t>
      </w:r>
      <w:r>
        <w:rPr/>
        <w:t>”</w:t>
      </w:r>
      <w:r>
        <w:rPr>
          <w:rFonts w:ascii="Times New Roman;serif" w:hAnsi="Times New Roman;serif"/>
          <w:b w:val="false"/>
          <w:sz w:val="24"/>
        </w:rPr>
        <w:t>), provided however that, the Company’s release of claims is not required to include a release or waiver of any rights or claims arising out of your obligations to protect and not to disclose or make unauthorized use of any confidential or proprietary information, including but not limited to claims under the Uniform Trade Secret Act or any confidentiality agreement between you and the Company, or any claims (whether direct or for indemnification or contribution) arising from your willful misconduct, fraud, embezzlement, conversion of any Company asset or business opportunity, material violation of law, or breach of any fiduciary duty owed to the Company. No Severance Benefits will be owed, paid or provided until the Separation Agreement becomes effective. You shall also resign from all positions and terminate any relationships as an employee, advisor, or officer with the Company and any of its affiliates, each effective on the Separation Date.</w:t>
      </w:r>
    </w:p>
    <w:p>
      <w:pPr>
        <w:pStyle w:val="TextBody"/>
        <w:spacing w:before="0" w:after="240"/>
        <w:jc w:val="both"/>
        <w:rPr>
          <w:rFonts w:ascii="Times New Roman" w:hAnsi="Times New Roman"/>
          <w:b/>
          <w:caps/>
          <w:sz w:val="24"/>
        </w:rPr>
      </w:pPr>
      <w:r>
        <w:rPr>
          <w:rFonts w:ascii="Times New Roman" w:hAnsi="Times New Roman"/>
          <w:b/>
          <w:caps/>
          <w:sz w:val="24"/>
        </w:rPr>
        <w:t>8.</w:t>
      </w:r>
    </w:p>
    <w:p>
      <w:pPr>
        <w:pStyle w:val="TextBody"/>
        <w:spacing w:before="0" w:after="240"/>
        <w:jc w:val="both"/>
        <w:rPr>
          <w:rFonts w:ascii="Times New Roman;serif" w:hAnsi="Times New Roman;serif"/>
          <w:b/>
          <w:sz w:val="24"/>
        </w:rPr>
      </w:pPr>
      <w:r>
        <w:rPr>
          <w:rFonts w:ascii="Times New Roman;serif" w:hAnsi="Times New Roman;serif"/>
          <w:b/>
          <w:sz w:val="24"/>
        </w:rPr>
        <w:t xml:space="preserve">Definitions. </w:t>
      </w:r>
    </w:p>
    <w:p>
      <w:pPr>
        <w:pStyle w:val="TextBody"/>
        <w:spacing w:before="0" w:after="240"/>
        <w:jc w:val="both"/>
        <w:rPr>
          <w:rFonts w:ascii="Times New Roman" w:hAnsi="Times New Roman"/>
          <w:b/>
          <w:sz w:val="24"/>
        </w:rPr>
      </w:pPr>
      <w:r>
        <w:rPr>
          <w:rFonts w:ascii="Times New Roman" w:hAnsi="Times New Roman"/>
          <w:b/>
          <w:sz w:val="24"/>
        </w:rPr>
        <w:t>8.1</w:t>
      </w:r>
    </w:p>
    <w:p>
      <w:pPr>
        <w:pStyle w:val="TextBody"/>
        <w:spacing w:before="0" w:after="240"/>
        <w:jc w:val="both"/>
        <w:rPr/>
      </w:pPr>
      <w:r>
        <w:rPr>
          <w:rFonts w:ascii="Times New Roman;serif" w:hAnsi="Times New Roman;serif"/>
          <w:b/>
          <w:sz w:val="24"/>
        </w:rPr>
        <w:t>Cause.</w:t>
      </w:r>
      <w:r>
        <w:rPr/>
        <w:t xml:space="preserve"> </w:t>
      </w:r>
      <w:r>
        <w:rPr>
          <w:rFonts w:ascii="Times New Roman;serif" w:hAnsi="Times New Roman;serif"/>
          <w:b w:val="false"/>
          <w:sz w:val="24"/>
        </w:rPr>
        <w:t>For purposes of this Agreement, “</w:t>
      </w:r>
      <w:r>
        <w:rPr>
          <w:rFonts w:ascii="Times New Roman;serif" w:hAnsi="Times New Roman;serif"/>
          <w:b/>
          <w:sz w:val="24"/>
        </w:rPr>
        <w:t>Cause</w:t>
      </w:r>
      <w:r>
        <w:rPr/>
        <w:t xml:space="preserve">” </w:t>
      </w:r>
      <w:r>
        <w:rPr>
          <w:rFonts w:ascii="Times New Roman;serif" w:hAnsi="Times New Roman;serif"/>
          <w:b w:val="false"/>
          <w:sz w:val="24"/>
        </w:rPr>
        <w:t xml:space="preserve">shall mean any one or more of the following: (i) your willful or deliberate failure to perform your duties or gross negligence in the performance of your duties that remains uncured (if deemed curable by the Company) 30 days after a written demand is delivered to you that specifically identifies the manner in which the Board believes that you have engaged in such conduct under this Section 8.1(i), (ii) your breach of a material term or representation of this Agreement that remains uncured (if deemed curable by the Company) 30 days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both"/>
        <w:rPr/>
      </w:pPr>
      <w:r>
        <w:rPr>
          <w:rFonts w:ascii="Times New Roman;serif" w:hAnsi="Times New Roman;serif"/>
          <w:b w:val="false"/>
          <w:sz w:val="24"/>
        </w:rPr>
        <w:t xml:space="preserve">after a written demand is delivered to you that specifically identifies the manner in which the Board believes that you have engaged in such conduct under this Section 8.1(ii), (iii) your material dishonesty, willful misconduct or fraud in connection with your provision of services to the Company, the performance of your duties, or in any way related to the business of the Company, (iv) your conviction or a plea of </w:t>
      </w:r>
      <w:r>
        <w:rPr>
          <w:rFonts w:ascii="Times New Roman;serif" w:hAnsi="Times New Roman;serif"/>
          <w:b w:val="false"/>
          <w:i/>
          <w:sz w:val="24"/>
        </w:rPr>
        <w:t xml:space="preserve">nolo contendere </w:t>
      </w:r>
      <w:r>
        <w:rPr>
          <w:rFonts w:ascii="Times New Roman;serif" w:hAnsi="Times New Roman;serif"/>
          <w:b w:val="false"/>
          <w:sz w:val="24"/>
        </w:rPr>
        <w:t>(or the equivalent) to a felony or any crime involving moral turpitude, (v) your engaging in conduct materially injurious to the business, reputation or goodwill of the Company that remains uncured (if deemed curable by the Company) 30 days after a written demand is delivered to you that specifically identifies the manner in which the Board believes that you have engaged in such conduct under this Section 8.1(v), or (vi) your material violation of applicable policies, practices and standards of behavior of which you have been made aware that remains uncured (if deemed curable by the Company) 30 days after a written demand is delivered to you that specifically identifies the manner in which the Board believes that you have engaged in such conduct under this Section 8.1(vi).</w:t>
      </w:r>
    </w:p>
    <w:p>
      <w:pPr>
        <w:pStyle w:val="TextBody"/>
        <w:spacing w:before="0" w:after="240"/>
        <w:jc w:val="both"/>
        <w:rPr>
          <w:rFonts w:ascii="Times New Roman" w:hAnsi="Times New Roman"/>
          <w:b/>
          <w:sz w:val="24"/>
        </w:rPr>
      </w:pPr>
      <w:r>
        <w:rPr>
          <w:rFonts w:ascii="Times New Roman" w:hAnsi="Times New Roman"/>
          <w:b/>
          <w:sz w:val="24"/>
        </w:rPr>
        <w:t>8.2</w:t>
      </w:r>
    </w:p>
    <w:p>
      <w:pPr>
        <w:pStyle w:val="TextBody"/>
        <w:spacing w:before="0" w:after="240"/>
        <w:jc w:val="both"/>
        <w:rPr/>
      </w:pPr>
      <w:r>
        <w:rPr>
          <w:rFonts w:ascii="Times New Roman;serif" w:hAnsi="Times New Roman;serif"/>
          <w:b/>
          <w:sz w:val="24"/>
        </w:rPr>
        <w:t xml:space="preserve">Code. </w:t>
      </w:r>
      <w:r>
        <w:rPr>
          <w:rFonts w:ascii="Times New Roman;serif" w:hAnsi="Times New Roman;serif"/>
          <w:b w:val="false"/>
          <w:sz w:val="24"/>
        </w:rPr>
        <w:t xml:space="preserve">For purposes of this Agreement, </w:t>
      </w:r>
      <w:r>
        <w:rPr/>
        <w:t>“</w:t>
      </w:r>
      <w:r>
        <w:rPr>
          <w:rFonts w:ascii="Times New Roman;serif" w:hAnsi="Times New Roman;serif"/>
          <w:b/>
          <w:sz w:val="24"/>
        </w:rPr>
        <w:t xml:space="preserve">Code” </w:t>
      </w:r>
      <w:r>
        <w:rPr>
          <w:rFonts w:ascii="Times New Roman;serif" w:hAnsi="Times New Roman;serif"/>
          <w:b w:val="false"/>
          <w:sz w:val="24"/>
        </w:rPr>
        <w:t>means the U.S. Internal Revenue Code of 1986 (as it has been and may be amended from time to time) and any regulations and guidance that has been promulgated or may be promulgated from time to time thereunder and any state law of similar effect.</w:t>
      </w:r>
    </w:p>
    <w:p>
      <w:pPr>
        <w:pStyle w:val="TextBody"/>
        <w:spacing w:before="0" w:after="240"/>
        <w:jc w:val="both"/>
        <w:rPr>
          <w:rFonts w:ascii="Times New Roman" w:hAnsi="Times New Roman"/>
          <w:b/>
          <w:sz w:val="24"/>
        </w:rPr>
      </w:pPr>
      <w:r>
        <w:rPr>
          <w:rFonts w:ascii="Times New Roman" w:hAnsi="Times New Roman"/>
          <w:b/>
          <w:sz w:val="24"/>
        </w:rPr>
        <w:t>8.3</w:t>
      </w:r>
    </w:p>
    <w:p>
      <w:pPr>
        <w:pStyle w:val="TextBody"/>
        <w:spacing w:before="0" w:after="240"/>
        <w:jc w:val="both"/>
        <w:rPr/>
      </w:pPr>
      <w:r>
        <w:rPr>
          <w:rFonts w:ascii="Times New Roman;serif" w:hAnsi="Times New Roman;serif"/>
          <w:b/>
          <w:sz w:val="24"/>
        </w:rPr>
        <w:t xml:space="preserve">Good Reason. </w:t>
      </w:r>
      <w:r>
        <w:rPr>
          <w:rFonts w:ascii="Times New Roman;serif" w:hAnsi="Times New Roman;serif"/>
          <w:b w:val="false"/>
          <w:sz w:val="24"/>
        </w:rPr>
        <w:t>For purposes of this Agreement, you shall have “</w:t>
      </w:r>
      <w:r>
        <w:rPr>
          <w:rFonts w:ascii="Times New Roman;serif" w:hAnsi="Times New Roman;serif"/>
          <w:b/>
          <w:sz w:val="24"/>
        </w:rPr>
        <w:t>Good Reason</w:t>
      </w:r>
      <w:r>
        <w:rPr/>
        <w:t xml:space="preserve">” </w:t>
      </w:r>
      <w:r>
        <w:rPr>
          <w:rFonts w:ascii="Times New Roman;serif" w:hAnsi="Times New Roman;serif"/>
          <w:b w:val="false"/>
          <w:sz w:val="24"/>
        </w:rPr>
        <w:t>for resignation from employment with the Company if any of the following actions are taken by the Company without your prior written consent: (a) a material reduction in your Base Salary or Annual Bonus opportunity, which the parties agree is a reduction of at least 10% of either of the foregoing (unless pursuant to a salary reduction program applicable generally to Company’s similarly situated employees); (b) a material reduction in your duties, responsibilities, and/or authorities, including, without limitation, a requirement that you report to an executive officer of the Company other than its Chief Executive Officer; (c) a material breach by the Company of this Agreement or any other agreement between you and the Company; or (d) a material adverse change to the expectations for your presence in the office as set forth in Section 1 of this Agreement. In order to resign for Good Reason, you must provide written notice to the Company’s Board within 30 days after the first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90 days after the expiration of the cure period.</w:t>
      </w:r>
    </w:p>
    <w:p>
      <w:pPr>
        <w:pStyle w:val="TextBody"/>
        <w:spacing w:before="0" w:after="240"/>
        <w:jc w:val="both"/>
        <w:rPr>
          <w:rFonts w:ascii="Times New Roman" w:hAnsi="Times New Roman"/>
          <w:b/>
          <w:sz w:val="24"/>
        </w:rPr>
      </w:pPr>
      <w:r>
        <w:rPr>
          <w:rFonts w:ascii="Times New Roman" w:hAnsi="Times New Roman"/>
          <w:b/>
          <w:sz w:val="24"/>
        </w:rPr>
        <w:t>8.4</w:t>
      </w:r>
    </w:p>
    <w:p>
      <w:pPr>
        <w:pStyle w:val="TextBody"/>
        <w:spacing w:before="0" w:after="240"/>
        <w:jc w:val="both"/>
        <w:rPr/>
      </w:pPr>
      <w:r>
        <w:rPr>
          <w:rFonts w:ascii="Times New Roman;serif" w:hAnsi="Times New Roman;serif"/>
          <w:b/>
          <w:sz w:val="24"/>
        </w:rPr>
        <w:t xml:space="preserve">Involuntary Termination. </w:t>
      </w:r>
      <w:r>
        <w:rPr>
          <w:rFonts w:ascii="Times New Roman;serif" w:hAnsi="Times New Roman;serif"/>
          <w:b w:val="false"/>
          <w:sz w:val="24"/>
        </w:rPr>
        <w:t>For purposes of this Agreement, “</w:t>
      </w:r>
      <w:r>
        <w:rPr>
          <w:rFonts w:ascii="Times New Roman;serif" w:hAnsi="Times New Roman;serif"/>
          <w:b/>
          <w:sz w:val="24"/>
        </w:rPr>
        <w:t>Involuntary Termination</w:t>
      </w:r>
      <w:r>
        <w:rPr/>
        <w:t xml:space="preserve">” </w:t>
      </w:r>
      <w:r>
        <w:rPr>
          <w:rFonts w:ascii="Times New Roman;serif" w:hAnsi="Times New Roman;serif"/>
          <w:b w:val="false"/>
          <w:sz w:val="24"/>
        </w:rPr>
        <w:t>means a termination of your employment with the 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pStyle w:val="TextBody"/>
        <w:spacing w:before="0" w:after="240"/>
        <w:jc w:val="both"/>
        <w:rPr>
          <w:rFonts w:ascii="Times New Roman" w:hAnsi="Times New Roman"/>
          <w:b/>
          <w:sz w:val="24"/>
        </w:rPr>
      </w:pPr>
      <w:r>
        <w:rPr>
          <w:rFonts w:ascii="Times New Roman" w:hAnsi="Times New Roman"/>
          <w:b/>
          <w:sz w:val="24"/>
        </w:rPr>
        <w:t>8.5</w:t>
      </w:r>
    </w:p>
    <w:p>
      <w:pPr>
        <w:pStyle w:val="TextBody"/>
        <w:spacing w:before="0" w:after="240"/>
        <w:jc w:val="both"/>
        <w:rPr/>
      </w:pPr>
      <w:r>
        <w:rPr>
          <w:rFonts w:ascii="Times New Roman;serif" w:hAnsi="Times New Roman;serif"/>
          <w:b/>
          <w:sz w:val="24"/>
        </w:rPr>
        <w:t xml:space="preserve">Separation from Service. </w:t>
      </w:r>
      <w:r>
        <w:rPr>
          <w:rFonts w:ascii="Times New Roman;serif" w:hAnsi="Times New Roman;serif"/>
          <w:b w:val="false"/>
          <w:sz w:val="24"/>
        </w:rPr>
        <w:t>For purposes of this Agreement, “Separation from Service”</w:t>
      </w:r>
      <w:r>
        <w:rPr/>
        <w:t xml:space="preserve"> </w:t>
      </w:r>
      <w:r>
        <w:rPr>
          <w:rFonts w:ascii="Times New Roman;serif" w:hAnsi="Times New Roman;serif"/>
          <w:b w:val="false"/>
          <w:sz w:val="24"/>
        </w:rPr>
        <w:t>means a “separation from service”, as defined under Treasury Regulation Section 1.409A-1(h).</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caps/>
          <w:sz w:val="24"/>
        </w:rPr>
      </w:pPr>
      <w:r>
        <w:rPr>
          <w:rFonts w:ascii="Times New Roman" w:hAnsi="Times New Roman"/>
          <w:b/>
          <w:caps/>
          <w:sz w:val="24"/>
        </w:rPr>
        <w:t>9.</w:t>
      </w:r>
    </w:p>
    <w:p>
      <w:pPr>
        <w:pStyle w:val="TextBody"/>
        <w:spacing w:before="0" w:after="240"/>
        <w:jc w:val="both"/>
        <w:rPr/>
      </w:pPr>
      <w:r>
        <w:rPr>
          <w:rFonts w:ascii="Times New Roman;serif" w:hAnsi="Times New Roman;serif"/>
          <w:b/>
          <w:sz w:val="24"/>
        </w:rPr>
        <w:t>Proprietary Information Obligations.</w:t>
      </w:r>
      <w:r>
        <w:rPr/>
        <w:t xml:space="preserve"> </w:t>
      </w:r>
      <w:r>
        <w:rPr>
          <w:rFonts w:ascii="Times New Roman;serif" w:hAnsi="Times New Roman;serif"/>
          <w:b w:val="false"/>
          <w:sz w:val="24"/>
        </w:rPr>
        <w:t>As a condition of employment, you shall execute and abide by the Company’s standard form of Confidential Information and Invention Assignment Agreement (the “</w:t>
      </w:r>
      <w:r>
        <w:rPr>
          <w:rFonts w:ascii="Times New Roman;serif" w:hAnsi="Times New Roman;serif"/>
          <w:b/>
          <w:sz w:val="24"/>
        </w:rPr>
        <w:t>Confidentiality Agreement</w:t>
      </w:r>
      <w:r>
        <w:rPr/>
        <w:t>”</w:t>
      </w:r>
      <w:r>
        <w:rPr>
          <w:rFonts w:ascii="Times New Roman;serif" w:hAnsi="Times New Roman;serif"/>
          <w:b w:val="false"/>
          <w:sz w:val="24"/>
        </w:rPr>
        <w:t xml:space="preserve">), attached as </w:t>
      </w:r>
      <w:r>
        <w:rPr>
          <w:rFonts w:ascii="Times New Roman;serif" w:hAnsi="Times New Roman;serif"/>
          <w:b/>
          <w:sz w:val="24"/>
          <w:u w:val="single"/>
        </w:rPr>
        <w:t>Exhibit B</w:t>
      </w:r>
      <w:r>
        <w:rPr>
          <w:rFonts w:ascii="Times New Roman;serif" w:hAnsi="Times New Roman;serif"/>
          <w:b w:val="false"/>
          <w:sz w:val="24"/>
        </w:rPr>
        <w:t>.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You hereby represent that you have disclosed to the Company any contract you have signed that may restrict your activities on behalf of the Company.</w:t>
      </w:r>
    </w:p>
    <w:p>
      <w:pPr>
        <w:pStyle w:val="TextBody"/>
        <w:spacing w:before="0" w:after="240"/>
        <w:jc w:val="both"/>
        <w:rPr>
          <w:rFonts w:ascii="Times New Roman" w:hAnsi="Times New Roman"/>
          <w:b/>
          <w:caps/>
          <w:sz w:val="24"/>
        </w:rPr>
      </w:pPr>
      <w:r>
        <w:rPr>
          <w:rFonts w:ascii="Times New Roman" w:hAnsi="Times New Roman"/>
          <w:b/>
          <w:caps/>
          <w:sz w:val="24"/>
        </w:rPr>
        <w:t>10.</w:t>
      </w:r>
    </w:p>
    <w:p>
      <w:pPr>
        <w:pStyle w:val="TextBody"/>
        <w:spacing w:before="0" w:after="240"/>
        <w:jc w:val="both"/>
        <w:rPr/>
      </w:pPr>
      <w:r>
        <w:rPr>
          <w:rFonts w:ascii="Times New Roman;serif" w:hAnsi="Times New Roman;serif"/>
          <w:b/>
          <w:sz w:val="24"/>
        </w:rPr>
        <w:t xml:space="preserve">Indemnification Agreement. </w:t>
      </w:r>
      <w:r>
        <w:rPr>
          <w:rFonts w:ascii="Times New Roman;serif" w:hAnsi="Times New Roman;serif"/>
          <w:b w:val="false"/>
          <w:sz w:val="24"/>
        </w:rPr>
        <w:t>The parties acknowledge and agree that the indemnification agreement entered into between you and the Company, dated July 28, 2020, shall remain in full force and effect during your employment.</w:t>
      </w:r>
    </w:p>
    <w:p>
      <w:pPr>
        <w:pStyle w:val="TextBody"/>
        <w:spacing w:before="0" w:after="240"/>
        <w:jc w:val="both"/>
        <w:rPr>
          <w:rFonts w:ascii="Times New Roman" w:hAnsi="Times New Roman"/>
          <w:b/>
          <w:caps/>
          <w:sz w:val="24"/>
        </w:rPr>
      </w:pPr>
      <w:r>
        <w:rPr>
          <w:rFonts w:ascii="Times New Roman" w:hAnsi="Times New Roman"/>
          <w:b/>
          <w:caps/>
          <w:sz w:val="24"/>
        </w:rPr>
        <w:t>11.</w:t>
      </w:r>
    </w:p>
    <w:p>
      <w:pPr>
        <w:pStyle w:val="TextBody"/>
        <w:spacing w:before="0" w:after="240"/>
        <w:jc w:val="both"/>
        <w:rPr/>
      </w:pPr>
      <w:r>
        <w:rPr>
          <w:rFonts w:ascii="Times New Roman;serif" w:hAnsi="Times New Roman;serif"/>
          <w:b/>
          <w:sz w:val="24"/>
        </w:rPr>
        <w:t>Section 409A.</w:t>
      </w:r>
      <w:r>
        <w:rPr/>
        <w:t xml:space="preserve"> </w:t>
      </w:r>
      <w:r>
        <w:rPr>
          <w:rFonts w:ascii="Times New Roman;serif" w:hAnsi="Times New Roman;serif"/>
          <w:b w:val="false"/>
          <w:sz w:val="24"/>
        </w:rPr>
        <w:t xml:space="preserve">It is intended that all of the severance benefits and other payments payable under this Agreement 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first date following expiration of the six-month period following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Separation Agreement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both"/>
        <w:rPr/>
      </w:pPr>
      <w:r>
        <w:rPr>
          <w:rFonts w:ascii="Times New Roman;serif" w:hAnsi="Times New Roman;serif"/>
          <w:b w:val="false"/>
          <w:sz w:val="24"/>
        </w:rPr>
        <w:t>will not be deemed effective any earlier than the Release Deadline for purposes of determining the timing of provision of any severance benefits.</w:t>
      </w:r>
      <w:r>
        <w:rPr/>
        <w:t xml:space="preserve"> </w:t>
      </w:r>
    </w:p>
    <w:p>
      <w:pPr>
        <w:pStyle w:val="TextBody"/>
        <w:spacing w:before="0" w:after="240"/>
        <w:jc w:val="both"/>
        <w:rPr>
          <w:rFonts w:ascii="Times New Roman" w:hAnsi="Times New Roman"/>
          <w:b/>
          <w:caps/>
          <w:sz w:val="24"/>
        </w:rPr>
      </w:pPr>
      <w:r>
        <w:rPr>
          <w:rFonts w:ascii="Times New Roman" w:hAnsi="Times New Roman"/>
          <w:b/>
          <w:caps/>
          <w:sz w:val="24"/>
        </w:rPr>
        <w:t>12.</w:t>
      </w:r>
    </w:p>
    <w:p>
      <w:pPr>
        <w:pStyle w:val="TextBody"/>
        <w:spacing w:before="0" w:after="240"/>
        <w:jc w:val="both"/>
        <w:rPr>
          <w:rFonts w:ascii="Times New Roman;serif" w:hAnsi="Times New Roman;serif"/>
          <w:b/>
          <w:sz w:val="24"/>
        </w:rPr>
      </w:pPr>
      <w:r>
        <w:rPr>
          <w:rFonts w:ascii="Times New Roman;serif" w:hAnsi="Times New Roman;serif"/>
          <w:b/>
          <w:sz w:val="24"/>
        </w:rPr>
        <w:t>Arbitration of All Disputes.</w:t>
      </w:r>
    </w:p>
    <w:p>
      <w:pPr>
        <w:pStyle w:val="TextBody"/>
        <w:spacing w:before="0" w:after="240"/>
        <w:jc w:val="both"/>
        <w:rPr>
          <w:rFonts w:ascii="Times New Roman" w:hAnsi="Times New Roman"/>
          <w:b/>
          <w:sz w:val="24"/>
        </w:rPr>
      </w:pPr>
      <w:r>
        <w:rPr>
          <w:rFonts w:ascii="Times New Roman" w:hAnsi="Times New Roman"/>
          <w:b/>
          <w:sz w:val="24"/>
        </w:rPr>
        <w:t>12.1</w:t>
      </w:r>
    </w:p>
    <w:p>
      <w:pPr>
        <w:pStyle w:val="TextBody"/>
        <w:spacing w:before="0" w:after="240"/>
        <w:jc w:val="both"/>
        <w:rPr/>
      </w:pPr>
      <w:r>
        <w:rPr>
          <w:rFonts w:ascii="Times New Roman;serif" w:hAnsi="Times New Roman;serif"/>
          <w:b/>
          <w:sz w:val="24"/>
        </w:rPr>
        <w:t>Agreement to Arbitrate</w:t>
      </w:r>
      <w:r>
        <w:rPr>
          <w:rFonts w:ascii="Times New Roman;serif" w:hAnsi="Times New Roman;serif"/>
          <w:b w:val="false"/>
          <w:sz w:val="24"/>
        </w:rPr>
        <w:t xml:space="preserve">. To ensure the timely and economical resolution of disputes that may arise between you and the Company, both you and the Company mutually agree that pursuant to the Federal Arbitration Act, 9 U.S.C. §1-16, and to the fullest extent permitted by applicable law, you and the Company will submit solely to final, binding and confidential arbitration any and all disputes, claims, or causes of action arising from or relating to: </w:t>
      </w:r>
      <w:r>
        <w:rPr>
          <w:rFonts w:ascii="Times New Roman;serif" w:hAnsi="Times New Roman;serif"/>
          <w:b/>
          <w:sz w:val="24"/>
        </w:rPr>
        <w:t>(i)</w:t>
      </w:r>
      <w:r>
        <w:rPr/>
        <w:t xml:space="preserve"> </w:t>
      </w:r>
      <w:r>
        <w:rPr>
          <w:rFonts w:ascii="Times New Roman;serif" w:hAnsi="Times New Roman;serif"/>
          <w:b w:val="false"/>
          <w:sz w:val="24"/>
        </w:rPr>
        <w:t xml:space="preserve">the negotiation, execution, interpretation, performance, breach or enforcement of this Agreement; or </w:t>
      </w:r>
      <w:r>
        <w:rPr>
          <w:rFonts w:ascii="Times New Roman;serif" w:hAnsi="Times New Roman;serif"/>
          <w:b/>
          <w:sz w:val="24"/>
        </w:rPr>
        <w:t>(ii)</w:t>
      </w:r>
      <w:r>
        <w:rPr/>
        <w:t xml:space="preserve"> </w:t>
      </w:r>
      <w:r>
        <w:rPr>
          <w:rFonts w:ascii="Times New Roman;serif" w:hAnsi="Times New Roman;serif"/>
          <w:b w:val="false"/>
          <w:sz w:val="24"/>
        </w:rPr>
        <w:t xml:space="preserve">your employment with the Company (including but not limited to all statutory claims); or </w:t>
      </w:r>
      <w:r>
        <w:rPr>
          <w:rFonts w:ascii="Times New Roman;serif" w:hAnsi="Times New Roman;serif"/>
          <w:b/>
          <w:sz w:val="24"/>
        </w:rPr>
        <w:t>(iii)</w:t>
      </w:r>
      <w:r>
        <w:rPr/>
        <w:t xml:space="preserve"> </w:t>
      </w:r>
      <w:r>
        <w:rPr>
          <w:rFonts w:ascii="Times New Roman;serif" w:hAnsi="Times New Roman;serif"/>
          <w:b w:val="false"/>
          <w:sz w:val="24"/>
        </w:rPr>
        <w:t xml:space="preserve">the termination of your employment with the Company (including but not limited to all statutory claims). </w:t>
      </w:r>
      <w:r>
        <w:rPr>
          <w:rFonts w:ascii="Times New Roman;serif" w:hAnsi="Times New Roman;serif"/>
          <w:b/>
          <w:caps/>
          <w:sz w:val="24"/>
        </w:rPr>
        <w:t>By agreeing to this arbitration procedure, both you and the Company waive the right to resolve any such disputes through a trial by jury or judge or through an administrative proceeding.</w:t>
      </w:r>
      <w:r>
        <w:rPr/>
        <w:t xml:space="preserve"> </w:t>
      </w:r>
    </w:p>
    <w:p>
      <w:pPr>
        <w:pStyle w:val="TextBody"/>
        <w:spacing w:before="0" w:after="240"/>
        <w:jc w:val="both"/>
        <w:rPr>
          <w:rFonts w:ascii="Times New Roman" w:hAnsi="Times New Roman"/>
          <w:b/>
          <w:sz w:val="24"/>
        </w:rPr>
      </w:pPr>
      <w:r>
        <w:rPr>
          <w:rFonts w:ascii="Times New Roman" w:hAnsi="Times New Roman"/>
          <w:b/>
          <w:sz w:val="24"/>
        </w:rPr>
        <w:t>12.2</w:t>
      </w:r>
    </w:p>
    <w:p>
      <w:pPr>
        <w:pStyle w:val="TextBody"/>
        <w:spacing w:before="0" w:after="240"/>
        <w:jc w:val="both"/>
        <w:rPr/>
      </w:pPr>
      <w:r>
        <w:rPr>
          <w:rFonts w:ascii="Times New Roman;serif" w:hAnsi="Times New Roman;serif"/>
          <w:b/>
          <w:sz w:val="24"/>
        </w:rPr>
        <w:t>Arbitrator Authority</w:t>
      </w:r>
      <w:r>
        <w:rPr>
          <w:rFonts w:ascii="Times New Roman;serif" w:hAnsi="Times New Roman;serif"/>
          <w:b w:val="false"/>
          <w:sz w:val="24"/>
        </w:rPr>
        <w:t xml:space="preserve">. The arbitrator shall have the sole and exclusive authority to determine whether a dispute, claim or cause of action is subject to arbitration under this Section and to determine any procedural questions which grow out of such disputes, claims or causes of action and bear on their final disposition. </w:t>
      </w:r>
    </w:p>
    <w:p>
      <w:pPr>
        <w:pStyle w:val="TextBody"/>
        <w:spacing w:before="0" w:after="240"/>
        <w:jc w:val="both"/>
        <w:rPr>
          <w:rFonts w:ascii="Times New Roman" w:hAnsi="Times New Roman"/>
          <w:b/>
          <w:sz w:val="24"/>
        </w:rPr>
      </w:pPr>
      <w:r>
        <w:rPr>
          <w:rFonts w:ascii="Times New Roman" w:hAnsi="Times New Roman"/>
          <w:b/>
          <w:sz w:val="24"/>
        </w:rPr>
        <w:t>12.3</w:t>
      </w:r>
    </w:p>
    <w:p>
      <w:pPr>
        <w:pStyle w:val="TextBody"/>
        <w:spacing w:before="0" w:after="240"/>
        <w:jc w:val="both"/>
        <w:rPr/>
      </w:pPr>
      <w:r>
        <w:rPr>
          <w:rFonts w:ascii="Times New Roman;serif" w:hAnsi="Times New Roman;serif"/>
          <w:b/>
          <w:sz w:val="24"/>
        </w:rPr>
        <w:t>Individual Capacity Only</w:t>
      </w:r>
      <w:r>
        <w:rPr>
          <w:rFonts w:ascii="Times New Roman;serif" w:hAnsi="Times New Roman;serif"/>
          <w:b w:val="false"/>
          <w:sz w:val="24"/>
        </w:rPr>
        <w:t xml:space="preserve">. All claims, disputes, or causes of action under this Section, whether by you or 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 unenforceable, any claim(s) alleged or brought on behalf of a class shall proceed in a court of law rather than by arbitration. </w:t>
      </w:r>
    </w:p>
    <w:p>
      <w:pPr>
        <w:pStyle w:val="TextBody"/>
        <w:spacing w:before="0" w:after="240"/>
        <w:jc w:val="both"/>
        <w:rPr>
          <w:rFonts w:ascii="Times New Roman" w:hAnsi="Times New Roman"/>
          <w:b/>
          <w:sz w:val="24"/>
        </w:rPr>
      </w:pPr>
      <w:r>
        <w:rPr>
          <w:rFonts w:ascii="Times New Roman" w:hAnsi="Times New Roman"/>
          <w:b/>
          <w:sz w:val="24"/>
        </w:rPr>
        <w:t>12.4</w:t>
      </w:r>
    </w:p>
    <w:p>
      <w:pPr>
        <w:pStyle w:val="TextBody"/>
        <w:spacing w:before="0" w:after="240"/>
        <w:jc w:val="both"/>
        <w:rPr/>
      </w:pPr>
      <w:r>
        <w:rPr>
          <w:rFonts w:ascii="Times New Roman;serif" w:hAnsi="Times New Roman;serif"/>
          <w:b/>
          <w:sz w:val="24"/>
        </w:rPr>
        <w:t>Arbitration Process</w:t>
      </w:r>
      <w:r>
        <w:rPr>
          <w:rFonts w:ascii="Times New Roman;serif" w:hAnsi="Times New Roman;serif"/>
          <w:b w:val="false"/>
          <w:sz w:val="24"/>
        </w:rPr>
        <w:t>. Any arbitration proceeding under this Section shall be presided over by a single arbitrator and conducted by JAMS, Inc. (“</w:t>
      </w:r>
      <w:r>
        <w:rPr>
          <w:rFonts w:ascii="Times New Roman;serif" w:hAnsi="Times New Roman;serif"/>
          <w:b/>
          <w:sz w:val="24"/>
        </w:rPr>
        <w:t>JAMS</w:t>
      </w:r>
      <w:r>
        <w:rPr/>
        <w:t>”</w:t>
      </w:r>
      <w:r>
        <w:rPr>
          <w:rFonts w:ascii="Times New Roman;serif" w:hAnsi="Times New Roman;serif"/>
          <w:b w:val="false"/>
          <w:sz w:val="24"/>
        </w:rPr>
        <w:t xml:space="preserve">) in Dallas, Texas, or as otherwise agreed to by you and the Company, under the then applicable JAMS rules for the resolution of employment disputes (available upon request and also currently available at </w:t>
      </w:r>
      <w:r>
        <w:rPr>
          <w:rFonts w:ascii="Times New Roman;serif" w:hAnsi="Times New Roman;serif"/>
          <w:b w:val="false"/>
          <w:sz w:val="24"/>
          <w:u w:val="single"/>
        </w:rPr>
        <w:t>http://www.jamsadr.com/rules-employment-arbitration/</w:t>
      </w:r>
      <w:r>
        <w:rPr>
          <w:rFonts w:ascii="Times New Roman;serif" w:hAnsi="Times New Roman;serif"/>
          <w:b w:val="false"/>
          <w:sz w:val="24"/>
        </w:rPr>
        <w:t xml:space="preserve">). You and the Company both have the right to be represented by legal counsel at any arbitration proceeding, at each party’s own expense. The arbitrator shall: </w:t>
      </w:r>
      <w:r>
        <w:rPr>
          <w:rFonts w:ascii="Times New Roman;serif" w:hAnsi="Times New Roman;serif"/>
          <w:b/>
          <w:sz w:val="24"/>
        </w:rPr>
        <w:t>(i)</w:t>
      </w:r>
      <w:r>
        <w:rPr/>
        <w:t xml:space="preserve"> </w:t>
      </w:r>
      <w:r>
        <w:rPr>
          <w:rFonts w:ascii="Times New Roman;serif" w:hAnsi="Times New Roman;serif"/>
          <w:b w:val="false"/>
          <w:sz w:val="24"/>
        </w:rPr>
        <w:t xml:space="preserve">have the authority to compel adequate discovery for the resolution of the dispute; </w:t>
      </w:r>
      <w:r>
        <w:rPr>
          <w:rFonts w:ascii="Times New Roman;serif" w:hAnsi="Times New Roman;serif"/>
          <w:b/>
          <w:sz w:val="24"/>
        </w:rPr>
        <w:t>(ii)</w:t>
      </w:r>
      <w:r>
        <w:rPr/>
        <w:t xml:space="preserve"> </w:t>
      </w:r>
      <w:r>
        <w:rPr>
          <w:rFonts w:ascii="Times New Roman;serif" w:hAnsi="Times New Roman;serif"/>
          <w:b w:val="false"/>
          <w:sz w:val="24"/>
        </w:rPr>
        <w:t xml:space="preserve">issue a written arbitration decision, to include the arbitrator’s essential findings and conclusions and a statement of the award; and </w:t>
      </w:r>
      <w:r>
        <w:rPr>
          <w:rFonts w:ascii="Times New Roman;serif" w:hAnsi="Times New Roman;serif"/>
          <w:b/>
          <w:sz w:val="24"/>
        </w:rPr>
        <w:t>(iii)</w:t>
      </w:r>
      <w:r>
        <w:rPr/>
        <w:t xml:space="preserve"> </w:t>
      </w:r>
      <w:r>
        <w:rPr>
          <w:rFonts w:ascii="Times New Roman;serif" w:hAnsi="Times New Roman;serif"/>
          <w:b w:val="false"/>
          <w:sz w:val="24"/>
        </w:rPr>
        <w:t xml:space="preserve">be authorized to award any or all remedies that you or the Company would be entitled to seek in a court of law. The Company shall pay all JAMS arbitration fees in excess of the amount of court fees that would be required of you if the dispute were decided in a court of law. </w:t>
      </w:r>
    </w:p>
    <w:p>
      <w:pPr>
        <w:pStyle w:val="TextBody"/>
        <w:spacing w:before="0" w:after="240"/>
        <w:jc w:val="both"/>
        <w:rPr>
          <w:rFonts w:ascii="Times New Roman" w:hAnsi="Times New Roman"/>
          <w:b/>
          <w:sz w:val="24"/>
        </w:rPr>
      </w:pPr>
      <w:r>
        <w:rPr>
          <w:rFonts w:ascii="Times New Roman" w:hAnsi="Times New Roman"/>
          <w:b/>
          <w:sz w:val="24"/>
        </w:rPr>
        <w:t>12.5</w:t>
      </w:r>
    </w:p>
    <w:p>
      <w:pPr>
        <w:pStyle w:val="TextBody"/>
        <w:spacing w:before="0" w:after="240"/>
        <w:jc w:val="both"/>
        <w:rPr/>
      </w:pPr>
      <w:r>
        <w:rPr>
          <w:rFonts w:ascii="Times New Roman;serif" w:hAnsi="Times New Roman;serif"/>
          <w:b/>
          <w:sz w:val="24"/>
        </w:rPr>
        <w:t>Excluded Claims</w:t>
      </w:r>
      <w:r>
        <w:rPr>
          <w:rFonts w:ascii="Times New Roman;serif" w:hAnsi="Times New Roman;serif"/>
          <w:b w:val="false"/>
          <w:sz w:val="24"/>
        </w:rPr>
        <w:t xml:space="preserve">. This Section shall not apply to any action or claim that cannot be subject to mandatory arbitration as a matter of law, to the extent such claims are not permitted by applicable law to be submitted to mandatory arbitration and such applicable law is not preempted by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both"/>
        <w:rPr/>
      </w:pPr>
      <w:r>
        <w:rPr>
          <w:rFonts w:ascii="Times New Roman;serif" w:hAnsi="Times New Roman;serif"/>
          <w:b w:val="false"/>
          <w:sz w:val="24"/>
        </w:rPr>
        <w:t>the Federal Arbitration Act or otherwise invalid (collectively, the “</w:t>
      </w:r>
      <w:r>
        <w:rPr>
          <w:rFonts w:ascii="Times New Roman;serif" w:hAnsi="Times New Roman;serif"/>
          <w:b/>
          <w:sz w:val="24"/>
        </w:rPr>
        <w:t>Excluded Claims</w:t>
      </w:r>
      <w:r>
        <w:rPr/>
        <w:t>”</w:t>
      </w:r>
      <w:r>
        <w:rPr>
          <w:rFonts w:ascii="Times New Roman;serif" w:hAnsi="Times New Roman;serif"/>
          <w:b w:val="false"/>
          <w:sz w:val="24"/>
        </w:rPr>
        <w:t>). In the event you intend to bring multiple claims, including one of the Excluded Claims listed above, the Excluded Claims may be filed with a court, while any other claims will remain subject to mandatory arbitration.</w:t>
      </w:r>
    </w:p>
    <w:p>
      <w:pPr>
        <w:pStyle w:val="TextBody"/>
        <w:spacing w:before="0" w:after="240"/>
        <w:jc w:val="both"/>
        <w:rPr>
          <w:rFonts w:ascii="Times New Roman" w:hAnsi="Times New Roman"/>
          <w:b/>
          <w:sz w:val="24"/>
        </w:rPr>
      </w:pPr>
      <w:r>
        <w:rPr>
          <w:rFonts w:ascii="Times New Roman" w:hAnsi="Times New Roman"/>
          <w:b/>
          <w:sz w:val="24"/>
        </w:rPr>
        <w:t>12.6</w:t>
      </w:r>
    </w:p>
    <w:p>
      <w:pPr>
        <w:pStyle w:val="TextBody"/>
        <w:spacing w:before="0" w:after="240"/>
        <w:jc w:val="both"/>
        <w:rPr/>
      </w:pPr>
      <w:r>
        <w:rPr>
          <w:rFonts w:ascii="Times New Roman;serif" w:hAnsi="Times New Roman;serif"/>
          <w:b/>
          <w:sz w:val="24"/>
        </w:rPr>
        <w:t>Injunctive Relief and Final Orders</w:t>
      </w:r>
      <w:r>
        <w:rPr>
          <w:rFonts w:ascii="Times New Roman;serif" w:hAnsi="Times New Roman;serif"/>
          <w:b w:val="false"/>
          <w:sz w:val="24"/>
        </w:rPr>
        <w:t>. Nothing in this Section is intended to prevent either you or the 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pStyle w:val="TextBody"/>
        <w:spacing w:before="0" w:after="240"/>
        <w:jc w:val="both"/>
        <w:rPr>
          <w:rFonts w:ascii="Times New Roman" w:hAnsi="Times New Roman"/>
          <w:b/>
          <w:caps/>
          <w:sz w:val="24"/>
        </w:rPr>
      </w:pPr>
      <w:r>
        <w:rPr>
          <w:rFonts w:ascii="Times New Roman" w:hAnsi="Times New Roman"/>
          <w:b/>
          <w:caps/>
          <w:sz w:val="24"/>
        </w:rPr>
        <w:t>13.</w:t>
      </w:r>
    </w:p>
    <w:p>
      <w:pPr>
        <w:pStyle w:val="TextBody"/>
        <w:spacing w:before="0" w:after="240"/>
        <w:jc w:val="both"/>
        <w:rPr/>
      </w:pPr>
      <w:r>
        <w:rPr>
          <w:rFonts w:ascii="Times New Roman;serif" w:hAnsi="Times New Roman;serif"/>
          <w:b/>
          <w:sz w:val="24"/>
        </w:rPr>
        <w:t>General Provisions.</w:t>
      </w:r>
      <w:r>
        <w:rPr/>
        <w:t xml:space="preserve"> </w:t>
      </w:r>
      <w:r>
        <w:rPr>
          <w:rFonts w:ascii="Times New Roman;serif" w:hAnsi="Times New Roman;serif"/>
          <w:b w:val="false"/>
          <w:sz w:val="24"/>
        </w:rPr>
        <w:t>This Agreement, together with the Confidentiality 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Modifications or amendments to this Agreement must be made in a written agreement signed by you and the Company’s Board.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 not thereby be deemed to have waived any preceding or succeeding breach of the same or any other provision of this Agreement. This Agreement is intended to bind and inure to the benefit of and be enforceable by you and the Company, and their respective successors, assigns, heirs, executors and administrators. You may not assign any of your duties hereunder and you may not assign any of your rights hereunder without the written consent of the Company. This Agreement shall become effective as of the Start Date and shall terminate upon your termination of employment with the Company (other than those obligations or yours as set forth herein that survive the termination of this Agreement). All questions concerning the construction, validity and interpretation of this Agreement will be governed by the laws of the State of Texas.</w:t>
      </w:r>
    </w:p>
    <w:p>
      <w:pPr>
        <w:pStyle w:val="TextBody"/>
        <w:spacing w:before="0" w:after="0"/>
        <w:jc w:val="both"/>
        <w:rPr>
          <w:rFonts w:ascii="Times New Roman" w:hAnsi="Times New Roman"/>
          <w:sz w:val="20"/>
        </w:rPr>
      </w:pPr>
      <w:r>
        <w:rPr>
          <w:rFonts w:ascii="Times New Roman;serif" w:hAnsi="Times New Roman;serif"/>
          <w:b w:val="false"/>
          <w:sz w:val="24"/>
        </w:rPr>
        <w:t>This offer is subject to satisfactory proof of your identity and right to work in the United States and other applicable pre-employment screenings and checks.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We look forward to your expanded role with the Company. If you have any questions about this Agreement, please do not hesitate to call me.</w:t>
      </w:r>
    </w:p>
    <w:p>
      <w:pPr>
        <w:pStyle w:val="TextBody"/>
        <w:spacing w:before="0" w:after="0"/>
        <w:jc w:val="both"/>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Best regards,</w:t>
      </w:r>
    </w:p>
    <w:p>
      <w:pPr>
        <w:pStyle w:val="TextBody"/>
        <w:spacing w:before="0" w:after="0"/>
        <w:jc w:val="left"/>
        <w:rPr/>
      </w:pPr>
      <w:r>
        <w:rPr/>
        <w:t> </w:t>
      </w:r>
    </w:p>
    <w:p>
      <w:pPr>
        <w:pStyle w:val="TextBody"/>
        <w:spacing w:before="0" w:after="120"/>
        <w:jc w:val="left"/>
        <w:rPr>
          <w:rFonts w:ascii="Times New Roman;serif" w:hAnsi="Times New Roman;serif"/>
          <w:b/>
          <w:smallCaps/>
          <w:sz w:val="24"/>
        </w:rPr>
      </w:pPr>
      <w:r>
        <w:rPr>
          <w:rFonts w:ascii="Times New Roman;serif" w:hAnsi="Times New Roman;serif"/>
          <w:b/>
          <w:smallCaps/>
          <w:sz w:val="24"/>
        </w:rPr>
        <w:t>Taysha Gene Therapies, Inc.</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/s/ Kamran Alam</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Kamran Alam</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Chief Financial Officer</w:t>
      </w:r>
    </w:p>
    <w:p>
      <w:pPr>
        <w:pStyle w:val="TextBody"/>
        <w:spacing w:before="240" w:after="0"/>
        <w:jc w:val="left"/>
        <w:rPr>
          <w:rFonts w:ascii="Times New Roman;serif" w:hAnsi="Times New Roman;serif"/>
          <w:b/>
          <w:sz w:val="24"/>
        </w:rPr>
      </w:pPr>
      <w:r>
        <w:rPr>
          <w:rFonts w:ascii="Times New Roman;serif" w:hAnsi="Times New Roman;serif"/>
          <w:b/>
          <w:sz w:val="24"/>
        </w:rPr>
        <w:t>Accepted and agreed:</w:t>
      </w:r>
    </w:p>
    <w:p>
      <w:pPr>
        <w:pStyle w:val="TextBody"/>
        <w:spacing w:before="0" w:after="0"/>
        <w:jc w:val="left"/>
        <w:rPr/>
      </w:pPr>
      <w:r>
        <w:rPr/>
        <w:t> </w:t>
      </w:r>
    </w:p>
    <w:p>
      <w:pPr>
        <w:pStyle w:val="TextBody"/>
        <w:spacing w:before="0" w:after="120"/>
        <w:jc w:val="left"/>
        <w:rPr>
          <w:rFonts w:ascii="Times New Roman;serif" w:hAnsi="Times New Roman;serif"/>
          <w:b w:val="false"/>
          <w:sz w:val="24"/>
        </w:rPr>
      </w:pPr>
      <w:r>
        <w:rPr>
          <w:rFonts w:ascii="Times New Roman;serif" w:hAnsi="Times New Roman;serif"/>
          <w:b w:val="false"/>
          <w:sz w:val="24"/>
        </w:rPr>
        <w:t>/s/ Sukumar Nagendran</w:t>
      </w:r>
    </w:p>
    <w:p>
      <w:pPr>
        <w:pStyle w:val="TextBody"/>
        <w:spacing w:before="0" w:after="120"/>
        <w:jc w:val="left"/>
        <w:rPr/>
      </w:pPr>
      <w:r>
        <w:rPr/>
        <w:t> </w:t>
      </w:r>
    </w:p>
    <w:p>
      <w:pPr>
        <w:pStyle w:val="TextBody"/>
        <w:spacing w:before="0" w:after="120"/>
        <w:jc w:val="left"/>
        <w:rPr>
          <w:rFonts w:ascii="Times New Roman;serif" w:hAnsi="Times New Roman;serif"/>
          <w:b w:val="false"/>
          <w:sz w:val="24"/>
        </w:rPr>
      </w:pPr>
      <w:r>
        <w:rPr>
          <w:rFonts w:ascii="Times New Roman;serif" w:hAnsi="Times New Roman;serif"/>
          <w:b w:val="false"/>
          <w:sz w:val="24"/>
        </w:rPr>
        <w:t>Sukumar Nagendran, M.D.</w:t>
      </w:r>
    </w:p>
    <w:p>
      <w:pPr>
        <w:pStyle w:val="TextBody"/>
        <w:spacing w:before="0" w:after="120"/>
        <w:jc w:val="left"/>
        <w:rPr/>
      </w:pPr>
      <w:r>
        <w:rPr/>
        <w:t> </w:t>
      </w:r>
    </w:p>
    <w:p>
      <w:pPr>
        <w:pStyle w:val="TextBody"/>
        <w:spacing w:before="0" w:after="120"/>
        <w:jc w:val="left"/>
        <w:rPr>
          <w:rFonts w:ascii="Times New Roman;serif" w:hAnsi="Times New Roman;serif"/>
          <w:b w:val="false"/>
          <w:sz w:val="24"/>
        </w:rPr>
      </w:pPr>
      <w:r>
        <w:rPr>
          <w:rFonts w:ascii="Times New Roman;serif" w:hAnsi="Times New Roman;serif"/>
          <w:b w:val="false"/>
          <w:sz w:val="24"/>
        </w:rPr>
        <w:t>Date: _________________________</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center"/>
        <w:rPr>
          <w:rFonts w:ascii="Times New Roman;serif" w:hAnsi="Times New Roman;serif"/>
          <w:b/>
          <w:sz w:val="24"/>
          <w:u w:val="single"/>
        </w:rPr>
      </w:pPr>
      <w:r>
        <w:rPr>
          <w:rFonts w:ascii="Times New Roman;serif" w:hAnsi="Times New Roman;serif"/>
          <w:b/>
          <w:sz w:val="24"/>
          <w:u w:val="single"/>
        </w:rPr>
        <w:t>Exhibit A</w:t>
      </w:r>
    </w:p>
    <w:p>
      <w:pPr>
        <w:pStyle w:val="TextBody"/>
        <w:spacing w:before="0" w:after="0"/>
        <w:jc w:val="center"/>
        <w:rPr/>
      </w:pPr>
      <w:r>
        <w:rPr/>
        <w:t> </w:t>
      </w:r>
    </w:p>
    <w:p>
      <w:pPr>
        <w:pStyle w:val="TextBody"/>
        <w:spacing w:before="0" w:after="0"/>
        <w:jc w:val="center"/>
        <w:rPr>
          <w:rFonts w:ascii="Times New Roman;serif" w:hAnsi="Times New Roman;serif"/>
          <w:b/>
          <w:smallCaps/>
          <w:sz w:val="24"/>
        </w:rPr>
      </w:pPr>
      <w:r>
        <w:rPr>
          <w:rFonts w:ascii="Times New Roman;serif" w:hAnsi="Times New Roman;serif"/>
          <w:b/>
          <w:smallCaps/>
          <w:sz w:val="24"/>
        </w:rPr>
        <w:t>Outside Activities</w:t>
      </w:r>
    </w:p>
    <w:p>
      <w:pPr>
        <w:pStyle w:val="TextBody"/>
        <w:spacing w:before="0" w:after="0"/>
        <w:jc w:val="center"/>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1.</w:t>
      </w:r>
    </w:p>
    <w:p>
      <w:pPr>
        <w:pStyle w:val="TextBody"/>
        <w:spacing w:before="0" w:after="0"/>
        <w:jc w:val="left"/>
        <w:rPr>
          <w:rFonts w:ascii="Times New Roman;serif" w:hAnsi="Times New Roman;serif"/>
          <w:b w:val="false"/>
          <w:sz w:val="24"/>
        </w:rPr>
      </w:pPr>
      <w:r>
        <w:rPr>
          <w:rFonts w:ascii="Times New Roman;serif" w:hAnsi="Times New Roman;serif"/>
          <w:b w:val="false"/>
          <w:sz w:val="24"/>
        </w:rPr>
        <w:t>Solid Biosciences (public); paid board role</w:t>
      </w:r>
    </w:p>
    <w:p>
      <w:pPr>
        <w:pStyle w:val="TextBody"/>
        <w:spacing w:before="0" w:after="0"/>
        <w:jc w:val="left"/>
        <w:rPr>
          <w:rFonts w:ascii="Times New Roman" w:hAnsi="Times New Roman"/>
          <w:b w:val="false"/>
          <w:sz w:val="24"/>
        </w:rPr>
      </w:pPr>
      <w:r>
        <w:rPr>
          <w:rFonts w:ascii="Times New Roman" w:hAnsi="Times New Roman"/>
          <w:b w:val="false"/>
          <w:sz w:val="24"/>
        </w:rPr>
        <w:t>2.</w:t>
      </w:r>
    </w:p>
    <w:p>
      <w:pPr>
        <w:pStyle w:val="TextBody"/>
        <w:spacing w:before="0" w:after="0"/>
        <w:jc w:val="left"/>
        <w:rPr>
          <w:rFonts w:ascii="Times New Roman;serif" w:hAnsi="Times New Roman;serif"/>
          <w:b w:val="false"/>
          <w:sz w:val="24"/>
        </w:rPr>
      </w:pPr>
      <w:r>
        <w:rPr>
          <w:rFonts w:ascii="Times New Roman;serif" w:hAnsi="Times New Roman;serif"/>
          <w:b w:val="false"/>
          <w:sz w:val="24"/>
        </w:rPr>
        <w:t>SalioGen (private); paid board role</w:t>
      </w:r>
    </w:p>
    <w:p>
      <w:pPr>
        <w:pStyle w:val="TextBody"/>
        <w:spacing w:before="0" w:after="0"/>
        <w:jc w:val="left"/>
        <w:rPr>
          <w:rFonts w:ascii="Times New Roman" w:hAnsi="Times New Roman"/>
          <w:b w:val="false"/>
          <w:sz w:val="24"/>
        </w:rPr>
      </w:pPr>
      <w:r>
        <w:rPr>
          <w:rFonts w:ascii="Times New Roman" w:hAnsi="Times New Roman"/>
          <w:b w:val="false"/>
          <w:sz w:val="24"/>
        </w:rPr>
        <w:t>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Cove Therapeutics (private); unpaid board role</w:t>
      </w:r>
    </w:p>
    <w:p>
      <w:pPr>
        <w:pStyle w:val="TextBody"/>
        <w:spacing w:before="0" w:after="0"/>
        <w:jc w:val="left"/>
        <w:rPr>
          <w:rFonts w:ascii="Times New Roman" w:hAnsi="Times New Roman"/>
          <w:b w:val="false"/>
          <w:sz w:val="24"/>
        </w:rPr>
      </w:pPr>
      <w:r>
        <w:rPr>
          <w:rFonts w:ascii="Times New Roman" w:hAnsi="Times New Roman"/>
          <w:b w:val="false"/>
          <w:sz w:val="24"/>
        </w:rPr>
        <w:t>4.</w:t>
      </w:r>
    </w:p>
    <w:p>
      <w:pPr>
        <w:pStyle w:val="TextBody"/>
        <w:spacing w:before="0" w:after="0"/>
        <w:jc w:val="left"/>
        <w:rPr>
          <w:rFonts w:ascii="Times New Roman;serif" w:hAnsi="Times New Roman;serif"/>
          <w:b w:val="false"/>
          <w:sz w:val="24"/>
        </w:rPr>
      </w:pPr>
      <w:r>
        <w:rPr>
          <w:rFonts w:ascii="Times New Roman;serif" w:hAnsi="Times New Roman;serif"/>
          <w:b w:val="false"/>
          <w:sz w:val="24"/>
        </w:rPr>
        <w:t>Medocity (private); unpaid advisor role</w:t>
      </w:r>
    </w:p>
    <w:p>
      <w:pPr>
        <w:pStyle w:val="TextBody"/>
        <w:spacing w:before="0" w:after="0"/>
        <w:jc w:val="left"/>
        <w:rPr>
          <w:rFonts w:ascii="Times New Roman" w:hAnsi="Times New Roman"/>
          <w:b w:val="false"/>
          <w:sz w:val="24"/>
        </w:rPr>
      </w:pPr>
      <w:r>
        <w:rPr>
          <w:rFonts w:ascii="Times New Roman" w:hAnsi="Times New Roman"/>
          <w:b w:val="false"/>
          <w:sz w:val="24"/>
        </w:rPr>
        <w:t>5.</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ANZU Medical (private); unpaid advisor role and investor</w:t>
      </w:r>
    </w:p>
    <w:p>
      <w:pPr>
        <w:pStyle w:val="TextBody"/>
        <w:spacing w:before="0" w:after="0"/>
        <w:jc w:val="left"/>
        <w:rPr>
          <w:rFonts w:ascii="Times New Roman" w:hAnsi="Times New Roman"/>
          <w:b w:val="false"/>
          <w:sz w:val="24"/>
        </w:rPr>
      </w:pPr>
      <w:r>
        <w:rPr>
          <w:rFonts w:ascii="Times New Roman" w:hAnsi="Times New Roman"/>
          <w:b w:val="false"/>
          <w:sz w:val="24"/>
        </w:rPr>
        <w:t>6.</w:t>
      </w:r>
    </w:p>
    <w:p>
      <w:pPr>
        <w:pStyle w:val="TextBody"/>
        <w:spacing w:before="0" w:after="0"/>
        <w:jc w:val="left"/>
        <w:rPr>
          <w:rFonts w:ascii="Times New Roman;serif" w:hAnsi="Times New Roman;serif"/>
          <w:b w:val="false"/>
          <w:sz w:val="24"/>
        </w:rPr>
      </w:pPr>
      <w:r>
        <w:rPr>
          <w:rFonts w:ascii="Times New Roman;serif" w:hAnsi="Times New Roman;serif"/>
          <w:b w:val="false"/>
          <w:sz w:val="24"/>
        </w:rPr>
        <w:t>Prognos Health (private); unpaid advisor role</w:t>
      </w:r>
    </w:p>
    <w:p>
      <w:pPr>
        <w:pStyle w:val="TextBody"/>
        <w:spacing w:before="0" w:after="0"/>
        <w:jc w:val="left"/>
        <w:rPr>
          <w:rFonts w:ascii="Times New Roman" w:hAnsi="Times New Roman"/>
          <w:b w:val="false"/>
          <w:sz w:val="24"/>
        </w:rPr>
      </w:pPr>
      <w:r>
        <w:rPr>
          <w:rFonts w:ascii="Times New Roman" w:hAnsi="Times New Roman"/>
          <w:b w:val="false"/>
          <w:sz w:val="24"/>
        </w:rPr>
        <w:t>7.</w:t>
      </w:r>
    </w:p>
    <w:p>
      <w:pPr>
        <w:pStyle w:val="TextBody"/>
        <w:spacing w:before="0" w:after="0"/>
        <w:jc w:val="left"/>
        <w:rPr>
          <w:rFonts w:ascii="Times New Roman;serif" w:hAnsi="Times New Roman;serif"/>
          <w:b w:val="false"/>
          <w:sz w:val="24"/>
        </w:rPr>
      </w:pPr>
      <w:r>
        <w:rPr>
          <w:rFonts w:ascii="Times New Roman;serif" w:hAnsi="Times New Roman;serif"/>
          <w:b w:val="false"/>
          <w:sz w:val="24"/>
        </w:rPr>
        <w:t>Encoded Therapeutics (private); unpaid advisor role and investor</w:t>
      </w:r>
    </w:p>
    <w:p>
      <w:pPr>
        <w:pStyle w:val="TextBody"/>
        <w:spacing w:before="0" w:after="0"/>
        <w:jc w:val="left"/>
        <w:rPr>
          <w:rFonts w:ascii="Times New Roman" w:hAnsi="Times New Roman"/>
          <w:b w:val="false"/>
          <w:sz w:val="24"/>
        </w:rPr>
      </w:pPr>
      <w:r>
        <w:rPr>
          <w:rFonts w:ascii="Times New Roman" w:hAnsi="Times New Roman"/>
          <w:b w:val="false"/>
          <w:sz w:val="24"/>
        </w:rPr>
        <w:t>8.</w:t>
      </w:r>
    </w:p>
    <w:p>
      <w:pPr>
        <w:pStyle w:val="TextBody"/>
        <w:spacing w:before="0" w:after="0"/>
        <w:jc w:val="left"/>
        <w:rPr>
          <w:rFonts w:ascii="Times New Roman;serif" w:hAnsi="Times New Roman;serif"/>
          <w:b w:val="false"/>
          <w:sz w:val="24"/>
        </w:rPr>
      </w:pPr>
      <w:r>
        <w:rPr>
          <w:rFonts w:ascii="Times New Roman;serif" w:hAnsi="Times New Roman;serif"/>
          <w:b w:val="false"/>
          <w:sz w:val="24"/>
        </w:rPr>
        <w:t>Project Healthy Minds (501(c)(3) mental health foundation); voluntary board member</w:t>
      </w:r>
    </w:p>
    <w:p>
      <w:pPr>
        <w:pStyle w:val="TextBody"/>
        <w:spacing w:before="0" w:after="0"/>
        <w:jc w:val="left"/>
        <w:rPr>
          <w:rFonts w:ascii="Times New Roman" w:hAnsi="Times New Roman"/>
          <w:b w:val="false"/>
          <w:sz w:val="24"/>
        </w:rPr>
      </w:pPr>
      <w:r>
        <w:rPr>
          <w:rFonts w:ascii="Times New Roman" w:hAnsi="Times New Roman"/>
          <w:b w:val="false"/>
          <w:sz w:val="24"/>
        </w:rPr>
        <w:t>9.</w:t>
      </w:r>
    </w:p>
    <w:p>
      <w:pPr>
        <w:pStyle w:val="TextBody"/>
        <w:spacing w:before="0" w:after="0"/>
        <w:jc w:val="left"/>
        <w:rPr>
          <w:rFonts w:ascii="Times New Roman;serif" w:hAnsi="Times New Roman;serif"/>
          <w:b w:val="false"/>
          <w:sz w:val="24"/>
        </w:rPr>
      </w:pPr>
      <w:r>
        <w:rPr>
          <w:rFonts w:ascii="Times New Roman;serif" w:hAnsi="Times New Roman;serif"/>
          <w:b w:val="false"/>
          <w:sz w:val="24"/>
        </w:rPr>
        <w:t>Social Capital Suvretta Holdings</w:t>
      </w:r>
    </w:p>
    <w:p>
      <w:pPr>
        <w:pStyle w:val="TextBody"/>
        <w:spacing w:before="0" w:after="0"/>
        <w:jc w:val="left"/>
        <w:rPr>
          <w:rFonts w:ascii="Times New Roman" w:hAnsi="Times New Roman"/>
          <w:b w:val="false"/>
          <w:sz w:val="24"/>
        </w:rPr>
      </w:pPr>
      <w:r>
        <w:rPr>
          <w:rFonts w:ascii="Times New Roman" w:hAnsi="Times New Roman"/>
          <w:b w:val="false"/>
          <w:sz w:val="24"/>
        </w:rPr>
        <w:t>10.</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Neurogene (private); former board member, resigned, but still hold stock options</w:t>
      </w:r>
    </w:p>
    <w:p>
      <w:pPr>
        <w:pStyle w:val="TextBody"/>
        <w:spacing w:before="0" w:after="0"/>
        <w:jc w:val="left"/>
        <w:rPr>
          <w:rFonts w:ascii="Times New Roman" w:hAnsi="Times New Roman"/>
          <w:b w:val="false"/>
          <w:sz w:val="24"/>
        </w:rPr>
      </w:pPr>
      <w:r>
        <w:rPr>
          <w:rFonts w:ascii="Times New Roman" w:hAnsi="Times New Roman"/>
          <w:b w:val="false"/>
          <w:sz w:val="24"/>
        </w:rPr>
        <w:t>11.</w:t>
      </w:r>
    </w:p>
    <w:p>
      <w:pPr>
        <w:pStyle w:val="TextBody"/>
        <w:jc w:val="left"/>
        <w:rPr>
          <w:rFonts w:ascii="Times New Roman;serif" w:hAnsi="Times New Roman;serif"/>
          <w:b w:val="false"/>
          <w:sz w:val="24"/>
        </w:rPr>
      </w:pPr>
      <w:r>
        <w:rPr>
          <w:rFonts w:ascii="Times New Roman;serif" w:hAnsi="Times New Roman;serif"/>
          <w:b w:val="false"/>
          <w:sz w:val="24"/>
        </w:rPr>
        <w:t>Jaguar Gene Therapy; paid consultant</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center"/>
        <w:rPr>
          <w:rFonts w:ascii="Times New Roman" w:hAnsi="Times New Roman"/>
          <w:sz w:val="20"/>
        </w:rPr>
      </w:pPr>
      <w:r>
        <w:rPr>
          <w:rFonts w:ascii="Times New Roman;serif" w:hAnsi="Times New Roman;serif"/>
          <w:b/>
          <w:sz w:val="24"/>
          <w:u w:val="single"/>
        </w:rPr>
        <w:t>Exhibit B</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smallCaps/>
          <w:sz w:val="24"/>
        </w:rPr>
      </w:pPr>
      <w:r>
        <w:rPr>
          <w:rFonts w:ascii="Times New Roman;serif" w:hAnsi="Times New Roman;serif"/>
          <w:b/>
          <w:smallCaps/>
          <w:sz w:val="24"/>
        </w:rPr>
        <w:t>Confidential Information and Invention Assignment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TextBody"/>
        <w:spacing w:before="0" w:after="0"/>
        <w:jc w:val="both"/>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278843322 v3</w:t>
      </w:r>
    </w:p>
    <w:p>
      <w:pPr>
        <w:pStyle w:val="TextBody"/>
        <w:spacing w:before="0" w:after="0"/>
        <w:jc w:val="left"/>
        <w:rPr/>
      </w:pPr>
      <w:r>
        <w:rPr/>
        <w:t> </w:t>
      </w:r>
    </w:p>
    <w:p>
      <w:pPr>
        <w:pStyle w:val="HorizontalLine"/>
        <w:rPr/>
      </w:pPr>
      <w:r>
        <w:rPr/>
      </w:r>
      <w:r>
        <w:br w:type="page"/>
      </w:r>
    </w:p>
    <w:p>
      <w:pPr>
        <w:pStyle w:val="TextBody"/>
        <w:spacing w:before="0" w:after="0"/>
        <w:jc w:val="both"/>
        <w:rPr/>
      </w:pPr>
      <w:bookmarkStart w:id="40" w:name="tsha-ex10_25.htm"/>
      <w:bookmarkStart w:id="41" w:name="kstshaex10_25"/>
      <w:bookmarkEnd w:id="40"/>
      <w:bookmarkEnd w:id="41"/>
      <w:r>
        <w:rPr/>
        <w:t> </w:t>
      </w:r>
    </w:p>
    <w:p>
      <w:pPr>
        <w:pStyle w:val="TextBody"/>
        <w:spacing w:before="480" w:after="0"/>
        <w:jc w:val="right"/>
        <w:rPr>
          <w:rFonts w:ascii="Times New Roman" w:hAnsi="Times New Roman"/>
          <w:sz w:val="20"/>
        </w:rPr>
      </w:pPr>
      <w:r>
        <w:rPr>
          <w:rFonts w:ascii="Times New Roman;serif" w:hAnsi="Times New Roman;serif"/>
          <w:b/>
          <w:sz w:val="22"/>
        </w:rPr>
        <w:t>Exhibit</w:t>
      </w:r>
      <w:r>
        <w:rPr>
          <w:rFonts w:ascii="Times New Roman" w:hAnsi="Times New Roman"/>
          <w:smallCaps/>
          <w:sz w:val="20"/>
        </w:rPr>
        <w:t xml:space="preserve"> </w:t>
      </w:r>
      <w:r>
        <w:rPr>
          <w:rFonts w:ascii="Times New Roman;serif" w:hAnsi="Times New Roman;serif"/>
          <w:b/>
          <w:smallCaps/>
          <w:sz w:val="23"/>
        </w:rPr>
        <w:t>10.25</w:t>
      </w:r>
    </w:p>
    <w:p>
      <w:pPr>
        <w:pStyle w:val="TextBody"/>
        <w:spacing w:before="480" w:after="0"/>
        <w:jc w:val="center"/>
        <w:rPr>
          <w:rFonts w:ascii="Times New Roman;serif" w:hAnsi="Times New Roman;serif"/>
          <w:b/>
          <w:smallCaps/>
          <w:sz w:val="23"/>
        </w:rPr>
      </w:pPr>
      <w:r>
        <w:rPr>
          <w:rFonts w:ascii="Times New Roman;serif" w:hAnsi="Times New Roman;serif"/>
          <w:b/>
          <w:smallCaps/>
          <w:sz w:val="23"/>
        </w:rPr>
        <w:t>Taysha Gene Therapies, Inc.</w:t>
      </w:r>
    </w:p>
    <w:p>
      <w:pPr>
        <w:pStyle w:val="TextBody"/>
        <w:spacing w:before="480" w:after="0"/>
        <w:jc w:val="both"/>
        <w:rPr>
          <w:rFonts w:ascii="Times New Roman;serif" w:hAnsi="Times New Roman;serif"/>
          <w:b w:val="false"/>
          <w:sz w:val="23"/>
        </w:rPr>
      </w:pPr>
      <w:r>
        <w:rPr>
          <w:rFonts w:ascii="Times New Roman;serif" w:hAnsi="Times New Roman;serif"/>
          <w:b w:val="false"/>
          <w:sz w:val="23"/>
        </w:rPr>
        <w:t>March 7, 2023</w:t>
      </w:r>
    </w:p>
    <w:p>
      <w:pPr>
        <w:pStyle w:val="TextBody"/>
        <w:spacing w:before="0" w:after="240"/>
        <w:jc w:val="both"/>
        <w:rPr/>
      </w:pPr>
      <w:r>
        <w:rPr/>
        <w:t> </w:t>
      </w:r>
    </w:p>
    <w:p>
      <w:pPr>
        <w:pStyle w:val="TextBody"/>
        <w:spacing w:before="0" w:after="0"/>
        <w:jc w:val="both"/>
        <w:rPr>
          <w:rFonts w:ascii="Times New Roman;serif" w:hAnsi="Times New Roman;serif"/>
          <w:b w:val="false"/>
          <w:sz w:val="23"/>
        </w:rPr>
      </w:pPr>
      <w:r>
        <w:rPr>
          <w:rFonts w:ascii="Times New Roman;serif" w:hAnsi="Times New Roman;serif"/>
          <w:b w:val="false"/>
          <w:sz w:val="23"/>
        </w:rPr>
        <w:t>RA Session II</w:t>
      </w:r>
    </w:p>
    <w:p>
      <w:pPr>
        <w:pStyle w:val="TextBody"/>
        <w:spacing w:before="0" w:after="0"/>
        <w:jc w:val="both"/>
        <w:rPr/>
      </w:pPr>
      <w:r>
        <w:rPr/>
        <w:t> </w:t>
      </w:r>
    </w:p>
    <w:p>
      <w:pPr>
        <w:pStyle w:val="TextBody"/>
        <w:spacing w:before="0" w:after="240"/>
        <w:jc w:val="both"/>
        <w:rPr>
          <w:rFonts w:ascii="Times New Roman;serif" w:hAnsi="Times New Roman;serif"/>
          <w:b w:val="false"/>
          <w:sz w:val="23"/>
        </w:rPr>
      </w:pPr>
      <w:r>
        <w:rPr>
          <w:rFonts w:ascii="Times New Roman;serif" w:hAnsi="Times New Roman;serif"/>
          <w:b w:val="false"/>
          <w:sz w:val="23"/>
        </w:rPr>
        <w:t>Dear RA:</w:t>
      </w:r>
    </w:p>
    <w:p>
      <w:pPr>
        <w:pStyle w:val="TextBody"/>
        <w:spacing w:before="0" w:after="240"/>
        <w:jc w:val="both"/>
        <w:rPr>
          <w:rFonts w:ascii="Times New Roman" w:hAnsi="Times New Roman"/>
          <w:sz w:val="20"/>
        </w:rPr>
      </w:pPr>
      <w:r>
        <w:rPr>
          <w:rFonts w:ascii="Times New Roman;serif" w:hAnsi="Times New Roman;serif"/>
          <w:b w:val="false"/>
          <w:sz w:val="23"/>
        </w:rPr>
        <w:t>This letter sets forth the substance of the separation agreement (the “</w:t>
      </w:r>
      <w:r>
        <w:rPr>
          <w:rFonts w:ascii="Times New Roman;serif" w:hAnsi="Times New Roman;serif"/>
          <w:b/>
          <w:sz w:val="23"/>
        </w:rPr>
        <w:t>Agreement</w:t>
      </w:r>
      <w:r>
        <w:rPr>
          <w:rFonts w:ascii="Times New Roman" w:hAnsi="Times New Roman"/>
          <w:sz w:val="20"/>
        </w:rPr>
        <w:t>”</w:t>
      </w:r>
      <w:r>
        <w:rPr>
          <w:rFonts w:ascii="Times New Roman;serif" w:hAnsi="Times New Roman;serif"/>
          <w:b w:val="false"/>
          <w:sz w:val="23"/>
        </w:rPr>
        <w:t>) that Taysha Gene Therapies, Inc. (“</w:t>
      </w:r>
      <w:r>
        <w:rPr>
          <w:rFonts w:ascii="Times New Roman;serif" w:hAnsi="Times New Roman;serif"/>
          <w:b/>
          <w:sz w:val="23"/>
        </w:rPr>
        <w:t>Taysha</w:t>
      </w:r>
      <w:r>
        <w:rPr>
          <w:rFonts w:ascii="Times New Roman" w:hAnsi="Times New Roman"/>
          <w:sz w:val="20"/>
        </w:rPr>
        <w:t xml:space="preserve">” </w:t>
      </w:r>
      <w:r>
        <w:rPr>
          <w:rFonts w:ascii="Times New Roman;serif" w:hAnsi="Times New Roman;serif"/>
          <w:b w:val="false"/>
          <w:sz w:val="23"/>
        </w:rPr>
        <w:t>or the “</w:t>
      </w:r>
      <w:r>
        <w:rPr>
          <w:rFonts w:ascii="Times New Roman;serif" w:hAnsi="Times New Roman;serif"/>
          <w:b/>
          <w:sz w:val="23"/>
        </w:rPr>
        <w:t>Company</w:t>
      </w:r>
      <w:r>
        <w:rPr>
          <w:rFonts w:ascii="Times New Roman" w:hAnsi="Times New Roman"/>
          <w:sz w:val="20"/>
        </w:rPr>
        <w:t>”</w:t>
      </w:r>
      <w:r>
        <w:rPr>
          <w:rFonts w:ascii="Times New Roman;serif" w:hAnsi="Times New Roman;serif"/>
          <w:b w:val="false"/>
          <w:sz w:val="23"/>
        </w:rPr>
        <w:t>) is offering to you to aid in your employment transition.</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1.</w:t>
      </w:r>
    </w:p>
    <w:p>
      <w:pPr>
        <w:pStyle w:val="TextBody"/>
        <w:spacing w:before="0" w:after="240"/>
        <w:jc w:val="both"/>
        <w:rPr/>
      </w:pPr>
      <w:r>
        <w:rPr>
          <w:rFonts w:ascii="Times New Roman;serif" w:hAnsi="Times New Roman;serif"/>
          <w:b/>
          <w:smallCaps/>
          <w:sz w:val="23"/>
        </w:rPr>
        <w:t>Separation</w:t>
      </w:r>
      <w:r>
        <w:rPr>
          <w:rFonts w:ascii="Times New Roman;serif" w:hAnsi="Times New Roman;serif"/>
          <w:b/>
          <w:sz w:val="23"/>
        </w:rPr>
        <w:t>.</w:t>
      </w:r>
      <w:r>
        <w:rPr/>
        <w:t xml:space="preserve"> </w:t>
      </w:r>
      <w:r>
        <w:rPr>
          <w:rFonts w:ascii="Times New Roman;serif" w:hAnsi="Times New Roman;serif"/>
          <w:b w:val="false"/>
          <w:sz w:val="23"/>
        </w:rPr>
        <w:t>You acknowledge and agree that your employment termination from the Company occurred on December 16, 2022 (the “</w:t>
      </w:r>
      <w:r>
        <w:rPr>
          <w:rFonts w:ascii="Times New Roman;serif" w:hAnsi="Times New Roman;serif"/>
          <w:b/>
          <w:sz w:val="23"/>
        </w:rPr>
        <w:t>Separation Date</w:t>
      </w:r>
      <w:r>
        <w:rPr/>
        <w:t>”</w:t>
      </w:r>
      <w:r>
        <w:rPr>
          <w:rFonts w:ascii="Times New Roman;serif" w:hAnsi="Times New Roman;serif"/>
          <w:b w:val="false"/>
          <w:sz w:val="23"/>
        </w:rPr>
        <w:t>), and as of the Separation Date you no longer held any employment position with the Company. Following the Separation Date, you remained on the Company’s Board of Directors (the “</w:t>
      </w:r>
      <w:r>
        <w:rPr>
          <w:rFonts w:ascii="Times New Roman;serif" w:hAnsi="Times New Roman;serif"/>
          <w:b/>
          <w:sz w:val="23"/>
        </w:rPr>
        <w:t>Board</w:t>
      </w:r>
      <w:r>
        <w:rPr/>
        <w:t>”</w:t>
      </w:r>
      <w:r>
        <w:rPr>
          <w:rFonts w:ascii="Times New Roman;serif" w:hAnsi="Times New Roman;serif"/>
          <w:b w:val="false"/>
          <w:sz w:val="23"/>
        </w:rPr>
        <w:t>), until your voluntary resignation on March 2, 2023 (the “</w:t>
      </w:r>
      <w:r>
        <w:rPr>
          <w:rFonts w:ascii="Times New Roman;serif" w:hAnsi="Times New Roman;serif"/>
          <w:b/>
          <w:sz w:val="23"/>
        </w:rPr>
        <w:t>Board Resignation Date</w:t>
      </w:r>
      <w:r>
        <w:rPr/>
        <w:t>”</w:t>
      </w:r>
      <w:r>
        <w:rPr>
          <w:rFonts w:ascii="Times New Roman;serif" w:hAnsi="Times New Roman;serif"/>
          <w:b w:val="false"/>
          <w:sz w:val="23"/>
        </w:rPr>
        <w:t>). You understand and agree that you are not authorized to hold yourself out as being employed or affiliated with the Company in any way following the Separation Date, including as a member of the Board following the Board Resignation Date.</w:t>
      </w:r>
    </w:p>
    <w:p>
      <w:pPr>
        <w:pStyle w:val="TextBody"/>
        <w:spacing w:before="0" w:after="240"/>
        <w:jc w:val="both"/>
        <w:rPr>
          <w:rFonts w:ascii="Times New Roman" w:hAnsi="Times New Roman"/>
          <w:b/>
          <w:sz w:val="24"/>
        </w:rPr>
      </w:pPr>
      <w:r>
        <w:rPr>
          <w:rFonts w:ascii="Times New Roman" w:hAnsi="Times New Roman"/>
          <w:b/>
          <w:sz w:val="24"/>
        </w:rPr>
        <w:t>2.</w:t>
      </w:r>
    </w:p>
    <w:p>
      <w:pPr>
        <w:pStyle w:val="TextBody"/>
        <w:spacing w:before="0" w:after="240"/>
        <w:jc w:val="both"/>
        <w:rPr/>
      </w:pPr>
      <w:r>
        <w:rPr>
          <w:rFonts w:ascii="Times New Roman;serif" w:hAnsi="Times New Roman;serif"/>
          <w:b/>
          <w:smallCaps/>
          <w:sz w:val="23"/>
        </w:rPr>
        <w:t>Accrued Salary and Paid Time Off</w:t>
      </w:r>
      <w:r>
        <w:rPr>
          <w:rFonts w:ascii="Times New Roman;serif" w:hAnsi="Times New Roman;serif"/>
          <w:b/>
          <w:sz w:val="23"/>
        </w:rPr>
        <w:t>.</w:t>
      </w:r>
      <w:r>
        <w:rPr/>
        <w:t xml:space="preserve"> </w:t>
      </w:r>
      <w:r>
        <w:rPr>
          <w:rFonts w:ascii="Times New Roman;serif" w:hAnsi="Times New Roman;serif"/>
          <w:b w:val="false"/>
          <w:sz w:val="23"/>
        </w:rPr>
        <w:t xml:space="preserve">You acknowledge and agree that you were timely paid all accrued salary earned through the Separation Date, subject to standard payroll deductions and withholdings. You were entitled to these payments regardless of whether or not you sign this Agreement. You further acknowledge and accept receipt of your 2021 performance bonus, awarded by the Compensation Committee of the Board for 2021 performance on March 4, 2022 in the form of a restricted stock unit. </w:t>
      </w:r>
    </w:p>
    <w:p>
      <w:pPr>
        <w:pStyle w:val="TextBody"/>
        <w:spacing w:before="0" w:after="240"/>
        <w:jc w:val="both"/>
        <w:rPr>
          <w:rFonts w:ascii="Times New Roman" w:hAnsi="Times New Roman"/>
          <w:b/>
          <w:sz w:val="24"/>
        </w:rPr>
      </w:pPr>
      <w:r>
        <w:rPr>
          <w:rFonts w:ascii="Times New Roman" w:hAnsi="Times New Roman"/>
          <w:b/>
          <w:sz w:val="24"/>
        </w:rPr>
        <w:t>3.</w:t>
      </w:r>
    </w:p>
    <w:p>
      <w:pPr>
        <w:pStyle w:val="TextBody"/>
        <w:spacing w:before="0" w:after="240"/>
        <w:jc w:val="both"/>
        <w:rPr/>
      </w:pPr>
      <w:r>
        <w:rPr>
          <w:rFonts w:ascii="Times New Roman;serif" w:hAnsi="Times New Roman;serif"/>
          <w:b/>
          <w:smallCaps/>
          <w:sz w:val="23"/>
        </w:rPr>
        <w:t>Severance Benefits</w:t>
      </w:r>
      <w:r>
        <w:rPr>
          <w:rFonts w:ascii="Times New Roman;serif" w:hAnsi="Times New Roman;serif"/>
          <w:b/>
          <w:sz w:val="23"/>
        </w:rPr>
        <w:t xml:space="preserve">. </w:t>
      </w:r>
      <w:r>
        <w:rPr>
          <w:rFonts w:ascii="Times New Roman;serif" w:hAnsi="Times New Roman;serif"/>
          <w:b w:val="false"/>
          <w:sz w:val="23"/>
        </w:rPr>
        <w:t>In full satisfaction of the terms of the Amended and Restated Executive Employment Agreement, entered into between you and the Company on September 24, 2020 (the “</w:t>
      </w:r>
      <w:r>
        <w:rPr>
          <w:rFonts w:ascii="Times New Roman;serif" w:hAnsi="Times New Roman;serif"/>
          <w:b/>
          <w:sz w:val="23"/>
        </w:rPr>
        <w:t>Employment Agreement</w:t>
      </w:r>
      <w:r>
        <w:rPr/>
        <w:t>”</w:t>
      </w:r>
      <w:r>
        <w:rPr>
          <w:rFonts w:ascii="Times New Roman;serif" w:hAnsi="Times New Roman;serif"/>
          <w:b w:val="false"/>
          <w:sz w:val="23"/>
        </w:rPr>
        <w:t>), if you: (i) timely sign and return this Agreement to the Company; (ii) allow the releases contained herein to become effective; (iii) remain available after your Separation Date to answer any questions from the Company regarding your previous job duties; and (iv) comply with all of your legal and contractual obligations to the Company, then the Company will provide you with the following as your sole severance benefits (the “</w:t>
      </w:r>
      <w:r>
        <w:rPr>
          <w:rFonts w:ascii="Times New Roman;serif" w:hAnsi="Times New Roman;serif"/>
          <w:b/>
          <w:sz w:val="23"/>
        </w:rPr>
        <w:t>Severance Benefits</w:t>
      </w:r>
      <w:r>
        <w:rPr/>
        <w:t>”</w:t>
      </w:r>
      <w:r>
        <w:rPr>
          <w:rFonts w:ascii="Times New Roman;serif" w:hAnsi="Times New Roman;serif"/>
          <w:b w:val="false"/>
          <w:sz w:val="23"/>
        </w:rPr>
        <w:t xml:space="preserve">): </w:t>
      </w:r>
    </w:p>
    <w:p>
      <w:pPr>
        <w:pStyle w:val="TextBody"/>
        <w:spacing w:before="0" w:after="240"/>
        <w:jc w:val="both"/>
        <w:rPr>
          <w:rFonts w:ascii="Times New Roman" w:hAnsi="Times New Roman"/>
          <w:sz w:val="20"/>
        </w:rPr>
      </w:pPr>
      <w:r>
        <w:rPr>
          <w:rFonts w:ascii="Times New Roman;serif" w:hAnsi="Times New Roman;serif"/>
          <w:b/>
          <w:sz w:val="23"/>
        </w:rPr>
        <w:t xml:space="preserve">(a) Severance Payment. </w:t>
      </w:r>
      <w:r>
        <w:rPr>
          <w:rFonts w:ascii="Times New Roman;serif" w:hAnsi="Times New Roman;serif"/>
          <w:b w:val="false"/>
          <w:sz w:val="23"/>
        </w:rPr>
        <w:t>The Company will pay you, as severance, an amount equivalent to twelve (12) months of your current base salary (in the total amount of $559,084), subject to standard payroll deductions and withholdings (the “</w:t>
      </w:r>
      <w:r>
        <w:rPr>
          <w:rFonts w:ascii="Times New Roman;serif" w:hAnsi="Times New Roman;serif"/>
          <w:b/>
          <w:sz w:val="23"/>
        </w:rPr>
        <w:t>Severance Payment</w:t>
      </w:r>
      <w:r>
        <w:rPr>
          <w:rFonts w:ascii="Times New Roman" w:hAnsi="Times New Roman"/>
          <w:sz w:val="20"/>
        </w:rPr>
        <w:t>”</w:t>
      </w:r>
      <w:r>
        <w:rPr>
          <w:rFonts w:ascii="Times New Roman;serif" w:hAnsi="Times New Roman;serif"/>
          <w:b w:val="false"/>
          <w:sz w:val="23"/>
        </w:rPr>
        <w:t>). The Severance Payment will be paid to you as a continuation on the Company’s regular payroll beginning after the Effective Date (as defined below); and</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sz w:val="23"/>
        </w:rPr>
        <w:t xml:space="preserve">(b) Health Insurance. </w:t>
      </w:r>
      <w:r>
        <w:rPr>
          <w:rFonts w:ascii="Times New Roman;serif" w:hAnsi="Times New Roman;serif"/>
          <w:b w:val="false"/>
          <w:sz w:val="23"/>
        </w:rPr>
        <w:t>To the extent provided by the federal COBRA law or, if applicable, state insurance laws (collectively, “</w:t>
      </w:r>
      <w:r>
        <w:rPr>
          <w:rFonts w:ascii="Times New Roman;serif" w:hAnsi="Times New Roman;serif"/>
          <w:b/>
          <w:sz w:val="23"/>
        </w:rPr>
        <w:t>COBRA</w:t>
      </w:r>
      <w:r>
        <w:rPr>
          <w:rFonts w:ascii="Times New Roman" w:hAnsi="Times New Roman"/>
          <w:sz w:val="20"/>
        </w:rPr>
        <w:t>”</w:t>
      </w:r>
      <w:r>
        <w:rPr>
          <w:rFonts w:ascii="Times New Roman;serif" w:hAnsi="Times New Roman;serif"/>
          <w:b w:val="false"/>
          <w:sz w:val="23"/>
        </w:rPr>
        <w:t>), and by the Company’s current group health insurance policies, you may be eligible to continue your group health insurance benefits at your own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278843495 v7</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rFonts w:ascii="Times New Roman" w:hAnsi="Times New Roman"/>
          <w:sz w:val="20"/>
        </w:rPr>
      </w:pPr>
      <w:r>
        <w:rPr>
          <w:rFonts w:ascii="Times New Roman;serif" w:hAnsi="Times New Roman;serif"/>
          <w:b w:val="false"/>
          <w:sz w:val="23"/>
        </w:rPr>
        <w:t>expense. Later, you may be able to convert to an individual policy through the provider of the Company’s health insurance, if you wish. As an additional severance benefit, if you timely elect continued coverage under COBRA, the Company will reimburse you for or pay directly (at the Company’s discretion) the COBRA premiums to continue your health insurance coverage (including coverage for eligible dependents, if applicable) (“</w:t>
      </w:r>
      <w:r>
        <w:rPr>
          <w:rFonts w:ascii="Times New Roman;serif" w:hAnsi="Times New Roman;serif"/>
          <w:b/>
          <w:sz w:val="23"/>
        </w:rPr>
        <w:t>COBRA Premiums</w:t>
      </w:r>
      <w:r>
        <w:rPr>
          <w:rFonts w:ascii="Times New Roman" w:hAnsi="Times New Roman"/>
          <w:sz w:val="20"/>
        </w:rPr>
        <w:t>”</w:t>
      </w:r>
      <w:r>
        <w:rPr>
          <w:rFonts w:ascii="Times New Roman;serif" w:hAnsi="Times New Roman;serif"/>
          <w:b w:val="false"/>
          <w:sz w:val="23"/>
        </w:rPr>
        <w:t>) through the period (the “</w:t>
      </w:r>
      <w:r>
        <w:rPr>
          <w:rFonts w:ascii="Times New Roman;serif" w:hAnsi="Times New Roman;serif"/>
          <w:b/>
          <w:sz w:val="23"/>
        </w:rPr>
        <w:t>COBRA Premium Period</w:t>
      </w:r>
      <w:r>
        <w:rPr>
          <w:rFonts w:ascii="Times New Roman" w:hAnsi="Times New Roman"/>
          <w:sz w:val="20"/>
        </w:rPr>
        <w:t>”</w:t>
      </w:r>
      <w:r>
        <w:rPr>
          <w:rFonts w:ascii="Times New Roman;serif" w:hAnsi="Times New Roman;serif"/>
          <w:b w:val="false"/>
          <w:sz w:val="23"/>
        </w:rPr>
        <w:t>) starting on the Separation Date and ending on the earliest to occur of: (i) December 31, 2023; (ii) the date you become eligible for group health insurance coverage through a new employer; or (iii) the date you cease to be eligible for COBRA continuation coverage for any reason. If the Company elects to reimburse you, you must timely pay your premiums, and then provide the Company with proof of same to obtain reimbursement for your COBRA premiums under this Section 3(b).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you, on the first day of each calendar month, a fully taxable cash payment equal to the applicable COBRA premiums for that month for the remainder of the COBRA Premium Period, which you may (but are not obligated to) use toward the cost of COBRA premiums.</w:t>
      </w:r>
    </w:p>
    <w:p>
      <w:pPr>
        <w:pStyle w:val="TextBody"/>
        <w:spacing w:before="0" w:after="240"/>
        <w:jc w:val="both"/>
        <w:rPr>
          <w:rFonts w:ascii="Times New Roman" w:hAnsi="Times New Roman"/>
          <w:b/>
          <w:sz w:val="24"/>
        </w:rPr>
      </w:pPr>
      <w:r>
        <w:rPr>
          <w:rFonts w:ascii="Times New Roman" w:hAnsi="Times New Roman"/>
          <w:b/>
          <w:sz w:val="24"/>
        </w:rPr>
        <w:t>4.</w:t>
      </w:r>
    </w:p>
    <w:p>
      <w:pPr>
        <w:pStyle w:val="TextBody"/>
        <w:spacing w:before="0" w:after="240"/>
        <w:jc w:val="both"/>
        <w:rPr/>
      </w:pPr>
      <w:r>
        <w:rPr>
          <w:rFonts w:ascii="Times New Roman;serif" w:hAnsi="Times New Roman;serif"/>
          <w:b/>
          <w:smallCaps/>
          <w:sz w:val="23"/>
        </w:rPr>
        <w:t xml:space="preserve">Equity. </w:t>
      </w:r>
      <w:r>
        <w:rPr>
          <w:rFonts w:ascii="Times New Roman;serif" w:hAnsi="Times New Roman;serif"/>
          <w:b w:val="false"/>
          <w:sz w:val="23"/>
        </w:rPr>
        <w:t>You were granted certain equity awards in connection with your employment with the Company (the “</w:t>
      </w:r>
      <w:r>
        <w:rPr>
          <w:rFonts w:ascii="Times New Roman;serif" w:hAnsi="Times New Roman;serif"/>
          <w:b/>
          <w:sz w:val="23"/>
        </w:rPr>
        <w:t>Equity Awards</w:t>
      </w:r>
      <w:r>
        <w:rPr/>
        <w:t>”</w:t>
      </w:r>
      <w:r>
        <w:rPr>
          <w:rFonts w:ascii="Times New Roman;serif" w:hAnsi="Times New Roman;serif"/>
          <w:b w:val="false"/>
          <w:sz w:val="23"/>
        </w:rPr>
        <w:t>). Although your termination of employment did not constitute a termination of service for purposes of the Company’s applicable stock or equity plan (the “</w:t>
      </w:r>
      <w:r>
        <w:rPr>
          <w:rFonts w:ascii="Times New Roman;serif" w:hAnsi="Times New Roman;serif"/>
          <w:b/>
          <w:sz w:val="23"/>
        </w:rPr>
        <w:t>Plan</w:t>
      </w:r>
      <w:r>
        <w:rPr/>
        <w:t>”</w:t>
      </w:r>
      <w:r>
        <w:rPr>
          <w:rFonts w:ascii="Times New Roman;serif" w:hAnsi="Times New Roman;serif"/>
          <w:b w:val="false"/>
          <w:sz w:val="23"/>
        </w:rPr>
        <w:t>) for as long as you served on the Board, effective upon the Board Resignation Date, vesting of the Equity Awards under the terms of the applicable equity incentive plan, your stock option grants, and other applicable equity awards documents, vesting ceased. Your Equity Awards shall continue to be governed by the terms of the applicable Equity Awards documents.</w:t>
      </w:r>
    </w:p>
    <w:p>
      <w:pPr>
        <w:pStyle w:val="TextBody"/>
        <w:spacing w:before="0" w:after="240"/>
        <w:jc w:val="both"/>
        <w:rPr>
          <w:rFonts w:ascii="Times New Roman" w:hAnsi="Times New Roman"/>
          <w:b/>
          <w:sz w:val="24"/>
        </w:rPr>
      </w:pPr>
      <w:r>
        <w:rPr>
          <w:rFonts w:ascii="Times New Roman" w:hAnsi="Times New Roman"/>
          <w:b/>
          <w:sz w:val="24"/>
        </w:rPr>
        <w:t>5.</w:t>
      </w:r>
    </w:p>
    <w:p>
      <w:pPr>
        <w:pStyle w:val="TextBody"/>
        <w:spacing w:before="0" w:after="240"/>
        <w:jc w:val="both"/>
        <w:rPr/>
      </w:pPr>
      <w:r>
        <w:rPr>
          <w:rFonts w:ascii="Times New Roman;serif" w:hAnsi="Times New Roman;serif"/>
          <w:b/>
          <w:smallCaps/>
          <w:sz w:val="23"/>
        </w:rPr>
        <w:t>No Other Compensation or Benefits.</w:t>
      </w:r>
      <w:r>
        <w:rPr/>
        <w:t xml:space="preserve"> </w:t>
      </w:r>
      <w:r>
        <w:rPr>
          <w:rFonts w:ascii="Times New Roman;serif" w:hAnsi="Times New Roman;serif"/>
          <w:b w:val="false"/>
          <w:sz w:val="23"/>
        </w:rPr>
        <w:t xml:space="preserve">You acknowledge that the Severance Benefits set forth above fulfill and exceed all of the Company’s obligations to provide you severance or other benefits for a termination without Cause pursuant to the Employment Agreement, and that to the extent this Agreement differs from the Employment Agreement or any other applicable plan, policy or agreement with respect to the payment of any severance payments or benefits, this Agreement nevertheless supersedes the Company’s severance obligations to you under the Employment Agreement and any other applicable plan, policy or agreement. You further acknowledge that upon your execution of this Agreement, any severance obligations of the Company to you (other than as set forth in this Agreement) shall be extinguished. You further acknowledge that, except as expressly provided in this Agreement, you have 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w:t>
      </w:r>
    </w:p>
    <w:p>
      <w:pPr>
        <w:pStyle w:val="TextBody"/>
        <w:spacing w:before="0" w:after="240"/>
        <w:jc w:val="both"/>
        <w:rPr>
          <w:rFonts w:ascii="Times New Roman" w:hAnsi="Times New Roman"/>
          <w:b/>
          <w:sz w:val="24"/>
        </w:rPr>
      </w:pPr>
      <w:r>
        <w:rPr>
          <w:rFonts w:ascii="Times New Roman" w:hAnsi="Times New Roman"/>
          <w:b/>
          <w:sz w:val="24"/>
        </w:rPr>
        <w:t>6.</w:t>
      </w:r>
    </w:p>
    <w:p>
      <w:pPr>
        <w:pStyle w:val="TextBody"/>
        <w:spacing w:before="0" w:after="240"/>
        <w:jc w:val="both"/>
        <w:rPr/>
      </w:pPr>
      <w:r>
        <w:rPr>
          <w:rFonts w:ascii="Times New Roman;serif" w:hAnsi="Times New Roman;serif"/>
          <w:b/>
          <w:smallCaps/>
          <w:sz w:val="23"/>
        </w:rPr>
        <w:t>Expense Reimbursements.</w:t>
      </w:r>
      <w:r>
        <w:rPr/>
        <w:t xml:space="preserve"> </w:t>
      </w:r>
      <w:r>
        <w:rPr>
          <w:rFonts w:ascii="Times New Roman;serif" w:hAnsi="Times New Roman;serif"/>
          <w:b w:val="false"/>
          <w:sz w:val="23"/>
        </w:rPr>
        <w:t xml:space="preserve">You acknowledge and agree that you have submitted, and been reimbursed for, all business expenses you incurred through the Separation Date=. </w:t>
      </w:r>
    </w:p>
    <w:p>
      <w:pPr>
        <w:pStyle w:val="TextBody"/>
        <w:spacing w:before="0" w:after="240"/>
        <w:jc w:val="both"/>
        <w:rPr>
          <w:rFonts w:ascii="Times New Roman" w:hAnsi="Times New Roman"/>
          <w:b/>
          <w:sz w:val="24"/>
        </w:rPr>
      </w:pPr>
      <w:r>
        <w:rPr>
          <w:rFonts w:ascii="Times New Roman" w:hAnsi="Times New Roman"/>
          <w:b/>
          <w:sz w:val="24"/>
        </w:rPr>
        <w:t>7.</w:t>
      </w:r>
    </w:p>
    <w:p>
      <w:pPr>
        <w:pStyle w:val="TextBody"/>
        <w:spacing w:before="0" w:after="240"/>
        <w:jc w:val="both"/>
        <w:rPr/>
      </w:pPr>
      <w:r>
        <w:rPr>
          <w:rFonts w:ascii="Times New Roman;serif" w:hAnsi="Times New Roman;serif"/>
          <w:b/>
          <w:smallCaps/>
          <w:sz w:val="23"/>
        </w:rPr>
        <w:t>Return of Company Property.</w:t>
      </w:r>
      <w:r>
        <w:rPr/>
        <w:t xml:space="preserve"> </w:t>
      </w:r>
      <w:r>
        <w:rPr>
          <w:rFonts w:ascii="Times New Roman;serif" w:hAnsi="Times New Roman;serif"/>
          <w:b w:val="false"/>
          <w:sz w:val="23"/>
        </w:rPr>
        <w:t xml:space="preserve">You acknowledge and agree that you have returned to the Company all Company documents (and all copies thereof) and other Company property in your possession or control, including, but not limited to, Company files, notes, drawings, records, business plans and forecasts, reports, studies, analyses, proposals, agreements, research and development information, sales and marketing information, customer lists, prospect information, pipeline reports, </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278843495 v7</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pPr>
      <w:r>
        <w:rPr>
          <w:rFonts w:ascii="Times New Roman;serif" w:hAnsi="Times New Roman;serif"/>
          <w:b w:val="false"/>
          <w:sz w:val="23"/>
        </w:rPr>
        <w:t>sales reports, operational and personnel information, Company account and device login and password information, financial information, specifications, training materials, code, software, databases, computer-recorded information, tangible property and equipment (including, but not limited to, computers, credit cards, entry cards, identification badges and keys); and any materials of any kind that contain or embody any proprietary or confidential information of the Company (and all reproductions thereof). You represent that you have made a diligent search to locate any such documents, property and information within the required timeframe. In addition, if you have used any personally owned computer, server, e-mail system, mobile phone, portable electronic device (e.g., smartphone, iPad or the like), (collectively, “</w:t>
      </w:r>
      <w:r>
        <w:rPr>
          <w:rFonts w:ascii="Times New Roman;serif" w:hAnsi="Times New Roman;serif"/>
          <w:b/>
          <w:sz w:val="23"/>
        </w:rPr>
        <w:t>Personal Systems</w:t>
      </w:r>
      <w:r>
        <w:rPr/>
        <w:t>”</w:t>
      </w:r>
      <w:r>
        <w:rPr>
          <w:rFonts w:ascii="Times New Roman;serif" w:hAnsi="Times New Roman;serif"/>
          <w:b w:val="false"/>
          <w:sz w:val="23"/>
        </w:rPr>
        <w:t xml:space="preserve">) to receive, store, prepare or transmit any Company confidential or proprietary data, materials or information, then within five (5) days after the Effective Date, you will permanently delete and expunge all such Company confidential or proprietary information from such Personal Systems without retaining any copy or reproduction in any form (in whole or in part). You agree that, after the applicable timeframes noted above, you will neither use nor possess Company property. You also agree that within five (5) days after the Effective Date you will update any social media and networking profiles (such as LinkedIn and Facebook) to reflect that you are no longer employed or affiliated with the Company. </w:t>
      </w:r>
      <w:r>
        <w:rPr>
          <w:rFonts w:ascii="Times New Roman;serif" w:hAnsi="Times New Roman;serif"/>
          <w:b/>
          <w:sz w:val="23"/>
        </w:rPr>
        <w:t>Your timely compliance with this paragraph is a condition precedent to your receipt of the Severance Benefits described above.</w:t>
      </w:r>
    </w:p>
    <w:p>
      <w:pPr>
        <w:pStyle w:val="TextBody"/>
        <w:spacing w:before="0" w:after="240"/>
        <w:jc w:val="both"/>
        <w:rPr>
          <w:rFonts w:ascii="Times New Roman" w:hAnsi="Times New Roman"/>
          <w:b/>
          <w:sz w:val="24"/>
        </w:rPr>
      </w:pPr>
      <w:r>
        <w:rPr>
          <w:rFonts w:ascii="Times New Roman" w:hAnsi="Times New Roman"/>
          <w:b/>
          <w:sz w:val="24"/>
        </w:rPr>
        <w:t>8.</w:t>
      </w:r>
    </w:p>
    <w:p>
      <w:pPr>
        <w:pStyle w:val="TextBody"/>
        <w:spacing w:before="0" w:after="240"/>
        <w:jc w:val="both"/>
        <w:rPr/>
      </w:pPr>
      <w:r>
        <w:rPr>
          <w:rFonts w:ascii="Times New Roman;serif" w:hAnsi="Times New Roman;serif"/>
          <w:b/>
          <w:smallCaps/>
          <w:sz w:val="23"/>
        </w:rPr>
        <w:t>Confidentiality.</w:t>
      </w:r>
      <w:r>
        <w:rPr>
          <w:smallCaps/>
        </w:rPr>
        <w:t xml:space="preserve"> </w:t>
      </w:r>
      <w:r>
        <w:rPr>
          <w:rFonts w:ascii="Times New Roman;serif" w:hAnsi="Times New Roman;serif"/>
          <w:b w:val="false"/>
          <w:sz w:val="23"/>
        </w:rPr>
        <w:t xml:space="preserve">The provisions of this Agreement will be held in strictest confidence by you and will not be publicized or disclosed by you in any manner whatsoever; </w:t>
      </w:r>
      <w:r>
        <w:rPr>
          <w:rFonts w:ascii="Times New Roman;serif" w:hAnsi="Times New Roman;serif"/>
          <w:b w:val="false"/>
          <w:i/>
          <w:sz w:val="23"/>
        </w:rPr>
        <w:t>provided, however,</w:t>
      </w:r>
      <w:r>
        <w:rPr/>
        <w:t xml:space="preserve"> </w:t>
      </w:r>
      <w:r>
        <w:rPr>
          <w:rFonts w:ascii="Times New Roman;serif" w:hAnsi="Times New Roman;serif"/>
          <w:b w:val="false"/>
          <w:sz w:val="23"/>
        </w:rPr>
        <w:t xml:space="preserve">that: (a) you may disclose this Agreement in confidence to your immediate family and to your attorneys, accountants, tax preparers and financial advisors; (b) you may disclose this Agreement pursuant to a government investigation, if necessary to enforce its terms, or as otherwise required by law; and (c) you may make such statements and disclosures as set forth in the section of this Agreement entitled “Protected Rights.” In particular, and without limitation, you agree not to disclose the terms of this Agreement to any current or former Company employee, consultant or independent contractor. </w:t>
      </w:r>
    </w:p>
    <w:p>
      <w:pPr>
        <w:pStyle w:val="TextBody"/>
        <w:spacing w:before="0" w:after="240"/>
        <w:jc w:val="both"/>
        <w:rPr/>
      </w:pPr>
      <w:r>
        <w:rPr/>
        <w:t> </w:t>
      </w:r>
    </w:p>
    <w:p>
      <w:pPr>
        <w:pStyle w:val="TextBody"/>
        <w:spacing w:before="0" w:after="240"/>
        <w:jc w:val="both"/>
        <w:rPr>
          <w:rFonts w:ascii="Times New Roman" w:hAnsi="Times New Roman"/>
          <w:b/>
          <w:sz w:val="24"/>
        </w:rPr>
      </w:pPr>
      <w:r>
        <w:rPr>
          <w:rFonts w:ascii="Times New Roman" w:hAnsi="Times New Roman"/>
          <w:b/>
          <w:sz w:val="24"/>
        </w:rPr>
        <w:t>9.</w:t>
      </w:r>
    </w:p>
    <w:p>
      <w:pPr>
        <w:pStyle w:val="TextBody"/>
        <w:spacing w:before="0" w:after="240"/>
        <w:jc w:val="both"/>
        <w:rPr/>
      </w:pPr>
      <w:r>
        <w:rPr>
          <w:rFonts w:ascii="Times New Roman;serif" w:hAnsi="Times New Roman;serif"/>
          <w:b/>
          <w:smallCaps/>
          <w:sz w:val="23"/>
        </w:rPr>
        <w:t>No Admissions.</w:t>
      </w:r>
      <w:r>
        <w:rPr/>
        <w:t xml:space="preserve"> </w:t>
      </w:r>
      <w:r>
        <w:rPr>
          <w:rFonts w:ascii="Times New Roman;serif" w:hAnsi="Times New Roman;serif"/>
          <w:b w:val="false"/>
          <w:sz w:val="23"/>
        </w:rPr>
        <w:t>You understand and agree that the promises and payments in consideration of this Agreement shall not be construed to be an admission of any liability or obligation by the Company to you or to any other person, and that the Company makes no such admission.</w:t>
      </w:r>
    </w:p>
    <w:p>
      <w:pPr>
        <w:pStyle w:val="TextBody"/>
        <w:spacing w:before="0" w:after="240"/>
        <w:jc w:val="both"/>
        <w:rPr>
          <w:rFonts w:ascii="Times New Roman" w:hAnsi="Times New Roman"/>
          <w:b/>
          <w:sz w:val="24"/>
        </w:rPr>
      </w:pPr>
      <w:r>
        <w:rPr>
          <w:rFonts w:ascii="Times New Roman" w:hAnsi="Times New Roman"/>
          <w:b/>
          <w:sz w:val="24"/>
        </w:rPr>
        <w:t>10.</w:t>
      </w:r>
    </w:p>
    <w:p>
      <w:pPr>
        <w:pStyle w:val="TextBody"/>
        <w:spacing w:before="0" w:after="240"/>
        <w:jc w:val="both"/>
        <w:rPr/>
      </w:pPr>
      <w:r>
        <w:rPr>
          <w:rFonts w:ascii="Times New Roman;serif" w:hAnsi="Times New Roman;serif"/>
          <w:b/>
          <w:smallCaps/>
          <w:sz w:val="23"/>
        </w:rPr>
        <w:t>Release of Claims.</w:t>
      </w:r>
      <w:r>
        <w:rPr>
          <w:smallCaps/>
        </w:rPr>
        <w:t xml:space="preserve"> </w:t>
      </w:r>
    </w:p>
    <w:p>
      <w:pPr>
        <w:pStyle w:val="TextBody"/>
        <w:spacing w:before="0" w:after="240"/>
        <w:jc w:val="both"/>
        <w:rPr>
          <w:rFonts w:ascii="Times New Roman" w:hAnsi="Times New Roman"/>
          <w:sz w:val="20"/>
        </w:rPr>
      </w:pPr>
      <w:r>
        <w:rPr>
          <w:rFonts w:ascii="Times New Roman;serif" w:hAnsi="Times New Roman;serif"/>
          <w:b/>
          <w:sz w:val="23"/>
        </w:rPr>
        <w:t>(a)</w:t>
      </w:r>
      <w:r>
        <w:rPr>
          <w:rFonts w:ascii="Times New Roman" w:hAnsi="Times New Roman"/>
          <w:sz w:val="20"/>
        </w:rPr>
        <w:t xml:space="preserve"> </w:t>
      </w:r>
      <w:r>
        <w:rPr>
          <w:rFonts w:ascii="Times New Roman;serif" w:hAnsi="Times New Roman;serif"/>
          <w:b/>
          <w:sz w:val="23"/>
        </w:rPr>
        <w:t xml:space="preserve">General Release. </w:t>
      </w:r>
      <w:r>
        <w:rPr>
          <w:rFonts w:ascii="Times New Roman;serif" w:hAnsi="Times New Roman;serif"/>
          <w:b w:val="false"/>
          <w:sz w:val="23"/>
        </w:rPr>
        <w:t>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(collectively, the “</w:t>
      </w:r>
      <w:r>
        <w:rPr>
          <w:rFonts w:ascii="Times New Roman;serif" w:hAnsi="Times New Roman;serif"/>
          <w:b/>
          <w:sz w:val="23"/>
        </w:rPr>
        <w:t>Released Parties</w:t>
      </w:r>
      <w:r>
        <w:rPr>
          <w:rFonts w:ascii="Times New Roman" w:hAnsi="Times New Roman"/>
          <w:sz w:val="20"/>
        </w:rPr>
        <w:t>”</w:t>
      </w:r>
      <w:r>
        <w:rPr>
          <w:rFonts w:ascii="Times New Roman;serif" w:hAnsi="Times New Roman;serif"/>
          <w:b w:val="false"/>
          <w:sz w:val="23"/>
        </w:rPr>
        <w:t>) from any and all claims, liabilities and obligations, both known and unknown, that arise out of or are in any way related to events, acts, conduct, or omissions occurring prior to or on the date you sign this Agreement (collectively, the “</w:t>
      </w:r>
      <w:r>
        <w:rPr>
          <w:rFonts w:ascii="Times New Roman;serif" w:hAnsi="Times New Roman;serif"/>
          <w:b/>
          <w:sz w:val="23"/>
        </w:rPr>
        <w:t>Released Claims</w:t>
      </w:r>
      <w:r>
        <w:rPr>
          <w:rFonts w:ascii="Times New Roman" w:hAnsi="Times New Roman"/>
          <w:sz w:val="20"/>
        </w:rPr>
        <w:t>”</w:t>
      </w:r>
      <w:r>
        <w:rPr>
          <w:rFonts w:ascii="Times New Roman;serif" w:hAnsi="Times New Roman;serif"/>
          <w:b w:val="false"/>
          <w:sz w:val="23"/>
        </w:rPr>
        <w:t>).</w:t>
      </w:r>
    </w:p>
    <w:p>
      <w:pPr>
        <w:pStyle w:val="TextBody"/>
        <w:spacing w:before="0" w:after="240"/>
        <w:jc w:val="both"/>
        <w:rPr>
          <w:rFonts w:ascii="Times New Roman" w:hAnsi="Times New Roman"/>
          <w:sz w:val="20"/>
        </w:rPr>
      </w:pPr>
      <w:r>
        <w:rPr>
          <w:rFonts w:ascii="Times New Roman;serif" w:hAnsi="Times New Roman;serif"/>
          <w:b/>
          <w:sz w:val="23"/>
        </w:rPr>
        <w:t xml:space="preserve">(b) Scope of Release. </w:t>
      </w:r>
      <w:r>
        <w:rPr>
          <w:rFonts w:ascii="Times New Roman;serif" w:hAnsi="Times New Roman;serif"/>
          <w:b w:val="false"/>
          <w:sz w:val="23"/>
        </w:rPr>
        <w:t>The Released Claims include, but are not limited to: (i) all claims arising out of or in any way related to your employment with the Company, or the termination of that employment; (ii) all claims related to your compensation or benefits from the Company, including salary, bonuses, commissions, vacation, expense reimbursements, severance pay, fringe benefits, stock, stock options, or any other ownership, equity, or profits interests in the Company; (iii)</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278843495 v7</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rFonts w:ascii="Times New Roman" w:hAnsi="Times New Roman"/>
          <w:sz w:val="20"/>
        </w:rPr>
      </w:pPr>
      <w:r>
        <w:rPr>
          <w:rFonts w:ascii="Times New Roman;serif" w:hAnsi="Times New Roman;serif"/>
          <w:b w:val="false"/>
          <w:sz w:val="23"/>
        </w:rPr>
        <w:t>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(the “</w:t>
      </w:r>
      <w:r>
        <w:rPr>
          <w:rFonts w:ascii="Times New Roman;serif" w:hAnsi="Times New Roman;serif"/>
          <w:b/>
          <w:sz w:val="23"/>
        </w:rPr>
        <w:t>ADEA</w:t>
      </w:r>
      <w:r>
        <w:rPr>
          <w:rFonts w:ascii="Times New Roman" w:hAnsi="Times New Roman"/>
          <w:sz w:val="20"/>
        </w:rPr>
        <w:t>”</w:t>
      </w:r>
      <w:r>
        <w:rPr>
          <w:rFonts w:ascii="Times New Roman;serif" w:hAnsi="Times New Roman;serif"/>
          <w:b w:val="false"/>
          <w:sz w:val="23"/>
        </w:rPr>
        <w:t>), and any and all claims under the Texas Labor Code (specifically including the Texas Payday Law, the Texas Anti-Retaliation Act, Chapter 21 of the Texas Labor Code, and the Texas Whistleblower Act), or any other federal, state, or local statute or ordinance.</w:t>
      </w:r>
    </w:p>
    <w:p>
      <w:pPr>
        <w:pStyle w:val="TextBody"/>
        <w:spacing w:before="0" w:after="240"/>
        <w:jc w:val="both"/>
        <w:rPr>
          <w:rFonts w:ascii="Times New Roman" w:hAnsi="Times New Roman"/>
          <w:sz w:val="20"/>
        </w:rPr>
      </w:pPr>
      <w:r>
        <w:rPr>
          <w:rFonts w:ascii="Times New Roman;serif" w:hAnsi="Times New Roman;serif"/>
          <w:b/>
          <w:sz w:val="23"/>
        </w:rPr>
        <w:t>(c)</w:t>
      </w:r>
      <w:r>
        <w:rPr>
          <w:rFonts w:ascii="Times New Roman" w:hAnsi="Times New Roman"/>
          <w:sz w:val="20"/>
        </w:rPr>
        <w:t xml:space="preserve"> </w:t>
      </w:r>
      <w:r>
        <w:rPr>
          <w:rFonts w:ascii="Times New Roman;serif" w:hAnsi="Times New Roman;serif"/>
          <w:b/>
          <w:sz w:val="23"/>
        </w:rPr>
        <w:t xml:space="preserve">Excluded Claims. </w:t>
      </w:r>
      <w:r>
        <w:rPr>
          <w:rFonts w:ascii="Times New Roman;serif" w:hAnsi="Times New Roman;serif"/>
          <w:b w:val="false"/>
          <w:sz w:val="23"/>
        </w:rPr>
        <w:t>Notwithstanding the foregoing, the following are not included in the Released Claims (the “</w:t>
      </w:r>
      <w:r>
        <w:rPr>
          <w:rFonts w:ascii="Times New Roman;serif" w:hAnsi="Times New Roman;serif"/>
          <w:b/>
          <w:sz w:val="23"/>
        </w:rPr>
        <w:t>Excluded Claims</w:t>
      </w:r>
      <w:r>
        <w:rPr>
          <w:rFonts w:ascii="Times New Roman" w:hAnsi="Times New Roman"/>
          <w:sz w:val="20"/>
        </w:rPr>
        <w:t>”</w:t>
      </w:r>
      <w:r>
        <w:rPr>
          <w:rFonts w:ascii="Times New Roman;serif" w:hAnsi="Times New Roman;serif"/>
          <w:b w:val="false"/>
          <w:sz w:val="23"/>
        </w:rPr>
        <w:t>): (i) any rights or claims for indemnification you may have pursuant to any written indemnification agreement with the Company to which you are a party or under applicable law; (ii) any rights which are not waivable as a matter of law (such as claims for unemployment benefits or workers compensation); and (iii) any claims for breach of this Agreement.</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sz w:val="23"/>
        </w:rPr>
        <w:t>(d) ADEA Waiver.</w:t>
      </w:r>
      <w:r>
        <w:rPr>
          <w:rFonts w:ascii="Times New Roman" w:hAnsi="Times New Roman"/>
          <w:sz w:val="20"/>
        </w:rPr>
        <w:t xml:space="preserve"> </w:t>
      </w:r>
      <w:r>
        <w:rPr>
          <w:rFonts w:ascii="Times New Roman;serif" w:hAnsi="Times New Roman;serif"/>
          <w:b w:val="false"/>
          <w:sz w:val="23"/>
        </w:rPr>
        <w:t>You acknowledge that you are knowingly and voluntarily waiving and releasing any rights you may have under the ADEA, and that the consideration given for the waiver and release in this Section is in addition to anything of value to which you are already entitled. You further acknowledge that you have been advised, as required by the ADEA, that: (i) your waiver and release do not apply to any rights or claims that may arise after the date that you sign this Agreement; (ii) you should consult with an attorney prior to signing this Agreement (although you may choose voluntarily not to do so); (iii) you have twenty-one (21) days to consider this Agreement (although you may choose voluntarily to sign it earlier); (iv) you have seven (7) days following the date you sign this Agreement to revoke it (by providing written notice of your revocation to me); and (v) this Agreement will not be effective until the date upon which the revocation period has expired, which will be the eighth day after the date that this Agreement is signed by you provided that you do not revoke it (the “</w:t>
      </w:r>
      <w:r>
        <w:rPr>
          <w:rFonts w:ascii="Times New Roman;serif" w:hAnsi="Times New Roman;serif"/>
          <w:b/>
          <w:sz w:val="23"/>
        </w:rPr>
        <w:t>Effective Date</w:t>
      </w:r>
      <w:r>
        <w:rPr>
          <w:rFonts w:ascii="Times New Roman" w:hAnsi="Times New Roman"/>
          <w:sz w:val="20"/>
        </w:rPr>
        <w:t>”</w:t>
      </w:r>
      <w:r>
        <w:rPr>
          <w:rFonts w:ascii="Times New Roman;serif" w:hAnsi="Times New Roman;serif"/>
          <w:b w:val="false"/>
          <w:sz w:val="23"/>
        </w:rPr>
        <w:t>).</w:t>
      </w:r>
    </w:p>
    <w:p>
      <w:pPr>
        <w:pStyle w:val="TextBody"/>
        <w:spacing w:before="0" w:after="240"/>
        <w:jc w:val="both"/>
        <w:rPr>
          <w:rFonts w:ascii="Times New Roman" w:hAnsi="Times New Roman"/>
          <w:b/>
          <w:sz w:val="24"/>
        </w:rPr>
      </w:pPr>
      <w:r>
        <w:rPr>
          <w:rFonts w:ascii="Times New Roman" w:hAnsi="Times New Roman"/>
          <w:b/>
          <w:sz w:val="24"/>
        </w:rPr>
        <w:t>11.</w:t>
      </w:r>
    </w:p>
    <w:p>
      <w:pPr>
        <w:pStyle w:val="TextBody"/>
        <w:spacing w:before="0" w:after="240"/>
        <w:jc w:val="both"/>
        <w:rPr/>
      </w:pPr>
      <w:r>
        <w:rPr>
          <w:rFonts w:ascii="Times New Roman;serif" w:hAnsi="Times New Roman;serif"/>
          <w:b/>
          <w:smallCaps/>
          <w:sz w:val="24"/>
        </w:rPr>
        <w:t>Protected Rights</w:t>
      </w:r>
      <w:r>
        <w:rPr>
          <w:rFonts w:ascii="Times New Roman;serif" w:hAnsi="Times New Roman;serif"/>
          <w:b/>
          <w:sz w:val="24"/>
        </w:rPr>
        <w:t xml:space="preserve">. </w:t>
      </w:r>
      <w:r>
        <w:rPr>
          <w:rFonts w:ascii="Times New Roman;serif" w:hAnsi="Times New Roman;serif"/>
          <w:b w:val="false"/>
          <w:sz w:val="23"/>
        </w:rPr>
        <w:t>You understand that nothing in this Agreement limits your ability to file a charge or complaint with the 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Times New Roman;serif" w:hAnsi="Times New Roman;serif"/>
          <w:b/>
          <w:sz w:val="23"/>
        </w:rPr>
        <w:t>Government Agencies</w:t>
      </w:r>
      <w:r>
        <w:rPr/>
        <w:t>”</w:t>
      </w:r>
      <w:r>
        <w:rPr>
          <w:rFonts w:ascii="Times New Roman;serif" w:hAnsi="Times New Roman;serif"/>
          <w:b w:val="false"/>
          <w:sz w:val="23"/>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prevents you from discussing or disclosing information about unlawful acts in the workplace, such as harassment or discrimination or any other conduct that you have reason to believe is unlawful.</w:t>
      </w:r>
    </w:p>
    <w:p>
      <w:pPr>
        <w:pStyle w:val="TextBody"/>
        <w:spacing w:before="0" w:after="240"/>
        <w:jc w:val="both"/>
        <w:rPr>
          <w:rFonts w:ascii="Times New Roman" w:hAnsi="Times New Roman"/>
          <w:b/>
          <w:sz w:val="24"/>
        </w:rPr>
      </w:pPr>
      <w:r>
        <w:rPr>
          <w:rFonts w:ascii="Times New Roman" w:hAnsi="Times New Roman"/>
          <w:b/>
          <w:sz w:val="24"/>
        </w:rPr>
        <w:t>12.</w:t>
      </w:r>
    </w:p>
    <w:p>
      <w:pPr>
        <w:pStyle w:val="TextBody"/>
        <w:spacing w:before="0" w:after="240"/>
        <w:jc w:val="both"/>
        <w:rPr/>
      </w:pPr>
      <w:r>
        <w:rPr>
          <w:rFonts w:ascii="Times New Roman;serif" w:hAnsi="Times New Roman;serif"/>
          <w:b/>
          <w:smallCaps/>
          <w:sz w:val="23"/>
        </w:rPr>
        <w:t>Representations.</w:t>
      </w:r>
      <w:r>
        <w:rPr/>
        <w:t xml:space="preserve"> </w:t>
      </w:r>
      <w:r>
        <w:rPr>
          <w:rFonts w:ascii="Times New Roman;serif" w:hAnsi="Times New Roman;serif"/>
          <w:b w:val="false"/>
          <w:sz w:val="23"/>
        </w:rPr>
        <w:t>You hereby represent that you have been paid all compensation owed and for all hours worked, have received all the leave and leave benefits and protections for which you are eligible pursuant to the Family and Medical Leave Act or otherwise, and have not suffered any on-the-job injury for which you have not already filed a workers’ compensation claim.</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278843495 v7</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240"/>
        <w:jc w:val="both"/>
        <w:rPr>
          <w:rFonts w:ascii="Times New Roman" w:hAnsi="Times New Roman"/>
          <w:b/>
          <w:sz w:val="24"/>
        </w:rPr>
      </w:pPr>
      <w:r>
        <w:rPr>
          <w:rFonts w:ascii="Times New Roman" w:hAnsi="Times New Roman"/>
          <w:b/>
          <w:sz w:val="24"/>
        </w:rPr>
        <w:t>13.</w:t>
      </w:r>
    </w:p>
    <w:p>
      <w:pPr>
        <w:pStyle w:val="TextBody"/>
        <w:spacing w:before="0" w:after="240"/>
        <w:jc w:val="both"/>
        <w:rPr/>
      </w:pPr>
      <w:r>
        <w:rPr>
          <w:rFonts w:ascii="Times New Roman;serif" w:hAnsi="Times New Roman;serif"/>
          <w:b/>
          <w:smallCaps/>
          <w:sz w:val="23"/>
        </w:rPr>
        <w:t>Continuing Obligations; Non-Disparagement.</w:t>
      </w:r>
      <w:r>
        <w:rPr/>
        <w:t xml:space="preserve"> </w:t>
      </w:r>
      <w:r>
        <w:rPr>
          <w:rFonts w:ascii="Times New Roman;serif" w:hAnsi="Times New Roman;serif"/>
          <w:b w:val="false"/>
          <w:sz w:val="23"/>
        </w:rPr>
        <w:t xml:space="preserve">You acknowledge that you remain bound by any previous Employee Confidential Information and Inventions Assignment Agreement between you and the Company, attached hereto as </w:t>
      </w:r>
      <w:r>
        <w:rPr>
          <w:rFonts w:ascii="Times New Roman;serif" w:hAnsi="Times New Roman;serif"/>
          <w:b/>
          <w:sz w:val="23"/>
        </w:rPr>
        <w:t>Exhibit A</w:t>
      </w:r>
      <w:r>
        <w:rPr>
          <w:rFonts w:ascii="Times New Roman;serif" w:hAnsi="Times New Roman;serif"/>
          <w:b w:val="false"/>
          <w:sz w:val="23"/>
        </w:rPr>
        <w:t>, and agree to abide by those continuing obligations. You also agree not to disparage the Company and its officers, directors, employees, shareholders, and agents in any manner likely to be harmful to its or their business, business reputation, or personal reputation; provided that you may respond accurately and fully to any question, inquiry or request for information when required by legal process and may make disclosures as set forth in the section of this Agreement entitled “Protected Rights.”</w:t>
      </w:r>
    </w:p>
    <w:p>
      <w:pPr>
        <w:pStyle w:val="TextBody"/>
        <w:spacing w:before="0" w:after="240"/>
        <w:jc w:val="both"/>
        <w:rPr>
          <w:rFonts w:ascii="Times New Roman" w:hAnsi="Times New Roman"/>
          <w:b/>
          <w:sz w:val="24"/>
        </w:rPr>
      </w:pPr>
      <w:r>
        <w:rPr>
          <w:rFonts w:ascii="Times New Roman" w:hAnsi="Times New Roman"/>
          <w:b/>
          <w:sz w:val="24"/>
        </w:rPr>
        <w:t>14.</w:t>
      </w:r>
    </w:p>
    <w:p>
      <w:pPr>
        <w:pStyle w:val="TextBody"/>
        <w:spacing w:before="0" w:after="240"/>
        <w:jc w:val="both"/>
        <w:rPr/>
      </w:pPr>
      <w:r>
        <w:rPr>
          <w:rFonts w:ascii="Times New Roman;serif" w:hAnsi="Times New Roman;serif"/>
          <w:b/>
          <w:smallCaps/>
          <w:sz w:val="23"/>
        </w:rPr>
        <w:t>Miscellaneous.</w:t>
      </w:r>
      <w:r>
        <w:rPr/>
        <w:t xml:space="preserve"> </w:t>
      </w:r>
      <w:r>
        <w:rPr>
          <w:rFonts w:ascii="Times New Roman;serif" w:hAnsi="Times New Roman;serif"/>
          <w:b w:val="false"/>
          <w:sz w:val="23"/>
        </w:rPr>
        <w:t>This Agreement, including Exhibit A, constitutes the complete, final and exclusive 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The Company may freely assign this Agreement, without your prior written consent. You may not assign any of your duties hereunder and you may not assign any of your rights hereunder without the written consent of the Company.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Texas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which shall be deemed to be part of one original, and facsimile and electronic image signatures (including .pdf or any electronic signature complying with the U.S. federal ESIGN Act of 2000, Uniform Electronic Transactions Act, or other applicable law) shall be equivalent to original signatures.</w:t>
      </w:r>
    </w:p>
    <w:p>
      <w:pPr>
        <w:pStyle w:val="TextBody"/>
        <w:spacing w:before="0" w:after="0"/>
        <w:jc w:val="both"/>
        <w:rPr>
          <w:rFonts w:ascii="Times New Roman;serif" w:hAnsi="Times New Roman;serif"/>
          <w:b w:val="false"/>
          <w:sz w:val="23"/>
        </w:rPr>
      </w:pPr>
      <w:r>
        <w:rPr>
          <w:rFonts w:ascii="Times New Roman;serif" w:hAnsi="Times New Roman;serif"/>
          <w:b w:val="false"/>
          <w:sz w:val="23"/>
        </w:rPr>
        <w:t>If this Agreement is acceptable to you, please sign below and return the original to me by 5:00 pm Pacific Time on March 7, 2023, which you acknowledge is at least twenty-one (21) days after your receipt of the original version of this Agreement. You further acknowledge and agree that changes made from the original version of this Agreement, whether material or immaterial, do not restart the running of the original twenty-one (21) day period. The Company’s offer contained herein will automatically expire if you do not sign and return it within this timeframe.</w:t>
      </w:r>
    </w:p>
    <w:p>
      <w:pPr>
        <w:pStyle w:val="TextBody"/>
        <w:spacing w:before="0" w:after="0"/>
        <w:jc w:val="both"/>
        <w:rPr/>
      </w:pPr>
      <w:r>
        <w:rPr/>
        <w:t> </w:t>
      </w:r>
    </w:p>
    <w:p>
      <w:pPr>
        <w:pStyle w:val="TextBody"/>
        <w:spacing w:before="0" w:after="240"/>
        <w:jc w:val="both"/>
        <w:rPr>
          <w:rFonts w:ascii="Times New Roman;serif" w:hAnsi="Times New Roman;serif"/>
          <w:b w:val="false"/>
          <w:sz w:val="23"/>
        </w:rPr>
      </w:pPr>
      <w:r>
        <w:rPr>
          <w:rFonts w:ascii="Times New Roman;serif" w:hAnsi="Times New Roman;serif"/>
          <w:b w:val="false"/>
          <w:sz w:val="23"/>
        </w:rPr>
        <w:t>We wish you the best in your future endeavors.</w:t>
      </w:r>
    </w:p>
    <w:p>
      <w:pPr>
        <w:pStyle w:val="TextBody"/>
        <w:spacing w:before="0" w:after="0"/>
        <w:jc w:val="both"/>
        <w:rPr>
          <w:rFonts w:ascii="Times New Roman;serif" w:hAnsi="Times New Roman;serif"/>
          <w:b w:val="false"/>
          <w:sz w:val="23"/>
        </w:rPr>
      </w:pPr>
      <w:r>
        <w:rPr>
          <w:rFonts w:ascii="Times New Roman;serif" w:hAnsi="Times New Roman;serif"/>
          <w:b w:val="false"/>
          <w:sz w:val="23"/>
        </w:rPr>
        <w:t>Sincerely,</w:t>
      </w:r>
    </w:p>
    <w:p>
      <w:pPr>
        <w:pStyle w:val="TextBody"/>
        <w:spacing w:before="0" w:after="0"/>
        <w:jc w:val="both"/>
        <w:rPr/>
      </w:pPr>
      <w:r>
        <w:rPr/>
        <w:t> </w:t>
      </w:r>
    </w:p>
    <w:p>
      <w:pPr>
        <w:pStyle w:val="TextBody"/>
        <w:spacing w:before="0" w:after="600"/>
        <w:jc w:val="both"/>
        <w:rPr>
          <w:rFonts w:ascii="Times New Roman;serif" w:hAnsi="Times New Roman;serif"/>
          <w:b/>
          <w:smallCaps/>
          <w:sz w:val="23"/>
        </w:rPr>
      </w:pPr>
      <w:r>
        <w:rPr>
          <w:rFonts w:ascii="Times New Roman;serif" w:hAnsi="Times New Roman;serif"/>
          <w:b/>
          <w:smallCaps/>
          <w:sz w:val="23"/>
        </w:rPr>
        <w:t>Taysha Gene Therapies, Inc.</w:t>
      </w:r>
    </w:p>
    <w:p>
      <w:pPr>
        <w:pStyle w:val="TextBody"/>
        <w:spacing w:before="0" w:after="0"/>
        <w:jc w:val="both"/>
        <w:rPr>
          <w:rFonts w:ascii="Times New Roman;serif" w:hAnsi="Times New Roman;serif"/>
          <w:b w:val="false"/>
          <w:sz w:val="23"/>
        </w:rPr>
      </w:pPr>
      <w:r>
        <w:rPr>
          <w:rFonts w:ascii="Times New Roman;serif" w:hAnsi="Times New Roman;serif"/>
          <w:b w:val="false"/>
          <w:sz w:val="23"/>
        </w:rPr>
        <w:t>By: /s/ Sean Nolan</w:t>
      </w:r>
    </w:p>
    <w:p>
      <w:pPr>
        <w:pStyle w:val="TextBody"/>
        <w:spacing w:before="0" w:after="0"/>
        <w:jc w:val="both"/>
        <w:rPr/>
      </w:pPr>
      <w:r>
        <w:rPr/>
        <w:t> </w:t>
      </w:r>
    </w:p>
    <w:p>
      <w:pPr>
        <w:pStyle w:val="TextBody"/>
        <w:spacing w:before="0" w:after="0"/>
        <w:jc w:val="both"/>
        <w:rPr>
          <w:rFonts w:ascii="Times New Roman;serif" w:hAnsi="Times New Roman;serif"/>
          <w:b w:val="false"/>
          <w:sz w:val="23"/>
        </w:rPr>
      </w:pPr>
      <w:r>
        <w:rPr>
          <w:rFonts w:ascii="Times New Roman;serif" w:hAnsi="Times New Roman;serif"/>
          <w:b w:val="false"/>
          <w:sz w:val="23"/>
        </w:rPr>
        <w:t>Sean Nolan</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278843495 v7</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sz w:val="23"/>
        </w:rPr>
      </w:pPr>
      <w:r>
        <w:rPr>
          <w:rFonts w:ascii="Times New Roman;serif" w:hAnsi="Times New Roman;serif"/>
          <w:b w:val="false"/>
          <w:sz w:val="23"/>
        </w:rPr>
        <w:t>Chief Executive Officer</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mallCaps/>
          <w:sz w:val="23"/>
        </w:rPr>
        <w:t xml:space="preserve">Exhibit A – </w:t>
      </w:r>
      <w:r>
        <w:rPr>
          <w:rFonts w:ascii="Times New Roman;serif" w:hAnsi="Times New Roman;serif"/>
          <w:b w:val="false"/>
          <w:smallCaps/>
          <w:sz w:val="23"/>
        </w:rPr>
        <w:t>Confidential Information and Inventions Assignment Agreement</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serif" w:hAnsi="Times New Roman;serif"/>
          <w:b/>
          <w:smallCaps/>
          <w:sz w:val="23"/>
        </w:rPr>
      </w:pPr>
      <w:r>
        <w:rPr>
          <w:rFonts w:ascii="Times New Roman;serif" w:hAnsi="Times New Roman;serif"/>
          <w:b/>
          <w:smallCaps/>
          <w:sz w:val="23"/>
        </w:rPr>
        <w:t>I have read, understand and agree fully to the foregoing Agreement:</w:t>
      </w:r>
    </w:p>
    <w:p>
      <w:pPr>
        <w:pStyle w:val="TextBody"/>
        <w:spacing w:before="0" w:after="0"/>
        <w:jc w:val="both"/>
        <w:rPr/>
      </w:pPr>
      <w:r>
        <w:rPr/>
        <w:t> </w:t>
      </w:r>
    </w:p>
    <w:p>
      <w:pPr>
        <w:pStyle w:val="TextBody"/>
        <w:spacing w:before="0" w:after="0"/>
        <w:jc w:val="both"/>
        <w:rPr>
          <w:rFonts w:ascii="Times New Roman;serif" w:hAnsi="Times New Roman;serif"/>
          <w:b w:val="false"/>
          <w:sz w:val="23"/>
        </w:rPr>
      </w:pPr>
      <w:r>
        <w:rPr>
          <w:rFonts w:ascii="Times New Roman;serif" w:hAnsi="Times New Roman;serif"/>
          <w:b w:val="false"/>
          <w:sz w:val="23"/>
        </w:rPr>
        <w:t>/s/ RA Session II</w:t>
      </w:r>
    </w:p>
    <w:p>
      <w:pPr>
        <w:pStyle w:val="TextBody"/>
        <w:spacing w:before="0" w:after="0"/>
        <w:jc w:val="both"/>
        <w:rPr/>
      </w:pPr>
      <w:r>
        <w:rPr/>
        <w:t> </w:t>
      </w:r>
    </w:p>
    <w:p>
      <w:pPr>
        <w:pStyle w:val="TextBody"/>
        <w:spacing w:before="0" w:after="0"/>
        <w:jc w:val="both"/>
        <w:rPr>
          <w:rFonts w:ascii="Times New Roman;serif" w:hAnsi="Times New Roman;serif"/>
          <w:b/>
          <w:sz w:val="23"/>
        </w:rPr>
      </w:pPr>
      <w:r>
        <w:rPr>
          <w:rFonts w:ascii="Times New Roman;serif" w:hAnsi="Times New Roman;serif"/>
          <w:b/>
          <w:sz w:val="23"/>
        </w:rPr>
        <w:t>RA Session II</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serif" w:hAnsi="Times New Roman;serif"/>
          <w:b w:val="false"/>
          <w:sz w:val="23"/>
        </w:rPr>
      </w:pPr>
      <w:r>
        <w:rPr>
          <w:rFonts w:ascii="Times New Roman;serif" w:hAnsi="Times New Roman;serif"/>
          <w:b w:val="false"/>
          <w:sz w:val="23"/>
        </w:rPr>
        <w:t>Date</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278843495 v7</w:t>
      </w:r>
    </w:p>
    <w:p>
      <w:pPr>
        <w:pStyle w:val="TextBody"/>
        <w:spacing w:before="0" w:after="0"/>
        <w:jc w:val="left"/>
        <w:rPr/>
      </w:pPr>
      <w:r>
        <w:rPr/>
        <w:t> </w:t>
      </w:r>
    </w:p>
    <w:p>
      <w:pPr>
        <w:pStyle w:val="HorizontalLine"/>
        <w:rPr/>
      </w:pPr>
      <w:r>
        <w:rPr/>
      </w:r>
      <w:r>
        <w:br w:type="page"/>
      </w:r>
    </w:p>
    <w:p>
      <w:pPr>
        <w:pStyle w:val="TextBody"/>
        <w:spacing w:before="0" w:after="160"/>
        <w:jc w:val="right"/>
        <w:rPr>
          <w:rFonts w:ascii="Verdana;sans-serif" w:hAnsi="Verdana;sans-serif"/>
          <w:b/>
          <w:sz w:val="18"/>
        </w:rPr>
      </w:pPr>
      <w:bookmarkStart w:id="42" w:name="tsha-ex23_1.htm"/>
      <w:bookmarkStart w:id="43" w:name="kstshaex23_1"/>
      <w:bookmarkEnd w:id="42"/>
      <w:bookmarkEnd w:id="43"/>
      <w:r>
        <w:rPr>
          <w:rFonts w:ascii="Verdana;sans-serif" w:hAnsi="Verdana;sans-serif"/>
          <w:b/>
          <w:sz w:val="18"/>
        </w:rPr>
        <w:t>Exhibit 23.1</w:t>
      </w:r>
    </w:p>
    <w:p>
      <w:pPr>
        <w:pStyle w:val="TextBody"/>
        <w:spacing w:before="0" w:after="160"/>
        <w:jc w:val="right"/>
        <w:rPr/>
      </w:pPr>
      <w:r>
        <w:rPr/>
        <w:t> </w:t>
      </w:r>
    </w:p>
    <w:p>
      <w:pPr>
        <w:pStyle w:val="TextBody"/>
        <w:spacing w:before="0" w:after="160"/>
        <w:jc w:val="center"/>
        <w:rPr>
          <w:rFonts w:ascii="Verdana;sans-serif" w:hAnsi="Verdana;sans-serif"/>
          <w:b/>
          <w:sz w:val="18"/>
        </w:rPr>
      </w:pPr>
      <w:r>
        <w:rPr>
          <w:rFonts w:ascii="Verdana;sans-serif" w:hAnsi="Verdana;sans-serif"/>
          <w:b/>
          <w:sz w:val="18"/>
        </w:rPr>
        <w:t>CONSENT OF INDEPENDENT REGISTERED PUBLIC ACCOUNTING FIRM</w:t>
      </w:r>
    </w:p>
    <w:p>
      <w:pPr>
        <w:pStyle w:val="TextBody"/>
        <w:spacing w:before="0" w:after="160"/>
        <w:jc w:val="both"/>
        <w:rPr>
          <w:rFonts w:ascii="Verdana;sans-serif" w:hAnsi="Verdana;sans-serif"/>
          <w:b w:val="false"/>
          <w:sz w:val="18"/>
        </w:rPr>
      </w:pPr>
      <w:r>
        <w:rPr>
          <w:rFonts w:ascii="Verdana;sans-serif" w:hAnsi="Verdana;sans-serif"/>
          <w:b w:val="false"/>
          <w:sz w:val="18"/>
        </w:rPr>
        <w:t>We consent to the incorporation by reference in Registration Statement No. 333-260069 on Form S-3 and Registration Statement Nos. 333-249130, 333-256013 and 333-264025 on Form S-8 of our report dated March 28, 2023, relating to the financial statements of Taysha Gene Therapies, Inc. appearing in this Annual Report on Form 10-K for the year ended December 31, 2022.</w:t>
      </w:r>
    </w:p>
    <w:p>
      <w:pPr>
        <w:pStyle w:val="TextBody"/>
        <w:spacing w:before="0" w:after="160"/>
        <w:jc w:val="both"/>
        <w:rPr>
          <w:rFonts w:ascii="Times New Roman" w:hAnsi="Times New Roman"/>
          <w:sz w:val="20"/>
        </w:rPr>
      </w:pPr>
      <w:r>
        <w:rPr>
          <w:rFonts w:ascii="Verdana;sans-serif" w:hAnsi="Verdana;sans-serif"/>
          <w:b w:val="false"/>
          <w:i/>
          <w:sz w:val="18"/>
        </w:rPr>
        <w:t>/s/ DELOITTE &amp; TOUCHE LLP</w:t>
      </w:r>
      <w:r>
        <w:rPr>
          <w:rFonts w:ascii="Times New Roman" w:hAnsi="Times New Roman"/>
          <w:sz w:val="20"/>
        </w:rPr>
        <w:t xml:space="preserve"> </w:t>
      </w:r>
    </w:p>
    <w:p>
      <w:pPr>
        <w:pStyle w:val="TextBody"/>
        <w:spacing w:before="0" w:after="160"/>
        <w:jc w:val="left"/>
        <w:rPr>
          <w:rFonts w:ascii="Verdana;sans-serif" w:hAnsi="Verdana;sans-serif"/>
          <w:b w:val="false"/>
          <w:sz w:val="18"/>
        </w:rPr>
      </w:pPr>
      <w:r>
        <w:rPr>
          <w:rFonts w:ascii="Verdana;sans-serif" w:hAnsi="Verdana;sans-serif"/>
          <w:b w:val="false"/>
          <w:sz w:val="18"/>
        </w:rPr>
        <w:t>Dallas, Texas</w:t>
        <w:br/>
        <w:t>March 28, 2023</w:t>
      </w:r>
    </w:p>
    <w:p>
      <w:pPr>
        <w:pStyle w:val="TextBody"/>
        <w:spacing w:before="0" w:after="160"/>
        <w:jc w:val="both"/>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44" w:name="tsha-ex31_1.htm"/>
      <w:bookmarkStart w:id="45" w:name="kstshaex31_1"/>
      <w:bookmarkEnd w:id="44"/>
      <w:bookmarkEnd w:id="45"/>
      <w:r>
        <w:rPr>
          <w:rFonts w:ascii="Times New Roman;serif" w:hAnsi="Times New Roman;serif"/>
          <w:b/>
          <w:sz w:val="20"/>
        </w:rPr>
        <w:t>Exhibit 31.1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Sean Nolan,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Annual Report on Form 10-K of Taysha Gene Therapies,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949" w:type="dxa"/>
        <w:jc w:val="left"/>
        <w:tblInd w:w="0" w:type="dxa"/>
        <w:tblCellMar>
          <w:top w:w="28" w:type="dxa"/>
          <w:left w:w="28" w:type="dxa"/>
          <w:bottom w:w="28" w:type="dxa"/>
          <w:right w:w="28" w:type="dxa"/>
        </w:tblCellMar>
      </w:tblPr>
      <w:tblGrid>
        <w:gridCol w:w="1891"/>
        <w:gridCol w:w="146"/>
        <w:gridCol w:w="406"/>
        <w:gridCol w:w="2506"/>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Sean Nolan</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Sean Nolan</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46" w:name="tsha-ex31_2.htm"/>
      <w:bookmarkStart w:id="47" w:name="kstshaex31_2"/>
      <w:bookmarkEnd w:id="46"/>
      <w:bookmarkEnd w:id="47"/>
      <w:r>
        <w:rPr>
          <w:rFonts w:ascii="Times New Roman;serif" w:hAnsi="Times New Roman;serif"/>
          <w:b/>
          <w:sz w:val="20"/>
        </w:rPr>
        <w:t>Exhibit 31.2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Kamran Alam,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Annual Report on Form 10-K of Taysha Gene Therapies, Inc.;</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7754" w:type="dxa"/>
        <w:jc w:val="left"/>
        <w:tblInd w:w="0" w:type="dxa"/>
        <w:tblCellMar>
          <w:top w:w="28" w:type="dxa"/>
          <w:left w:w="28" w:type="dxa"/>
          <w:bottom w:w="28" w:type="dxa"/>
          <w:right w:w="28" w:type="dxa"/>
        </w:tblCellMar>
      </w:tblPr>
      <w:tblGrid>
        <w:gridCol w:w="1891"/>
        <w:gridCol w:w="146"/>
        <w:gridCol w:w="406"/>
        <w:gridCol w:w="5311"/>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311"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Kamran Alam</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3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Kamran Alam</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3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 and Principal Accounting Officer)</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48" w:name="tsha-ex32_1.htm"/>
      <w:bookmarkStart w:id="49" w:name="kstshaex32_1"/>
      <w:bookmarkEnd w:id="48"/>
      <w:bookmarkEnd w:id="49"/>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Annual Report on Form 10-K for the period ended December 31, 2022, to which this Certification is attached as Exhibit 32.1 (the “Annual Report”), fully complies with the requirements of Section 13(a) or Section 15(d) of the Exchange Act;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Annual Report fairly presents, in all material respects, the financial condition and result of operations of the Company.</w:t>
      </w:r>
    </w:p>
    <w:p>
      <w:pPr>
        <w:pStyle w:val="TextBody"/>
        <w:spacing w:before="0" w:after="0"/>
        <w:jc w:val="left"/>
        <w:rPr/>
      </w:pPr>
      <w:r>
        <w:rPr/>
        <w:t> </w:t>
      </w:r>
    </w:p>
    <w:tbl>
      <w:tblPr>
        <w:tblW w:w="4949" w:type="dxa"/>
        <w:jc w:val="left"/>
        <w:tblInd w:w="0" w:type="dxa"/>
        <w:tblCellMar>
          <w:top w:w="28" w:type="dxa"/>
          <w:left w:w="28" w:type="dxa"/>
          <w:bottom w:w="28" w:type="dxa"/>
          <w:right w:w="28" w:type="dxa"/>
        </w:tblCellMar>
      </w:tblPr>
      <w:tblGrid>
        <w:gridCol w:w="1891"/>
        <w:gridCol w:w="146"/>
        <w:gridCol w:w="406"/>
        <w:gridCol w:w="2506"/>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Sean Nolan</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Sean Nolan</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50" w:name="tsha-ex32_2.htm"/>
      <w:bookmarkStart w:id="51" w:name="kstshaex32_2"/>
      <w:bookmarkEnd w:id="50"/>
      <w:bookmarkEnd w:id="51"/>
      <w:r>
        <w:rPr>
          <w:rFonts w:ascii="Times New Roman;serif" w:hAnsi="Times New Roman;serif"/>
          <w:b/>
          <w:sz w:val="20"/>
        </w:rPr>
        <w:t>Exhibit 32.2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Annual Report on Form 10-K for the period ended December 31, 2022, to which this Certification is attached as Exhibit 32.2 (the “Annual Report”), fully complies with the requirements of Section 13(a) or Section 15(d) of the Exchange Act;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Annual Report fairly presents, in all material respects, the financial condition and result of operations of the Company.</w:t>
      </w:r>
    </w:p>
    <w:p>
      <w:pPr>
        <w:pStyle w:val="TextBody"/>
        <w:spacing w:before="0" w:after="0"/>
        <w:jc w:val="left"/>
        <w:rPr/>
      </w:pPr>
      <w:r>
        <w:rPr/>
        <w:t> </w:t>
      </w:r>
    </w:p>
    <w:tbl>
      <w:tblPr>
        <w:tblW w:w="7754" w:type="dxa"/>
        <w:jc w:val="left"/>
        <w:tblInd w:w="0" w:type="dxa"/>
        <w:tblCellMar>
          <w:top w:w="28" w:type="dxa"/>
          <w:left w:w="28" w:type="dxa"/>
          <w:bottom w:w="28" w:type="dxa"/>
          <w:right w:w="28" w:type="dxa"/>
        </w:tblCellMar>
      </w:tblPr>
      <w:tblGrid>
        <w:gridCol w:w="1891"/>
        <w:gridCol w:w="146"/>
        <w:gridCol w:w="406"/>
        <w:gridCol w:w="5311"/>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311"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Kamran Alam</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3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Kamran Alam</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3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 and Principal Accounting Officer)</w:t>
            </w:r>
          </w:p>
        </w:tc>
      </w:tr>
    </w:tbl>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Wingdings">
    <w:altName w:val="serif"/>
    <w:charset w:val="00"/>
    <w:family w:val="auto"/>
    <w:pitch w:val="default"/>
  </w:font>
  <w:font w:name="HelveticaNeueLT Pro 55 Roman">
    <w:altName w:val="sans-serif"/>
    <w:charset w:val="00"/>
    <w:family w:val="auto"/>
    <w:pitch w:val="default"/>
  </w:font>
  <w:font w:name="Arial">
    <w:altName w:val="sans-serif"/>
    <w:charset w:val="00"/>
    <w:family w:val="auto"/>
    <w:pitch w:val="default"/>
  </w:font>
  <w:font w:name="Verdana">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hyperlink" Target="https://www.sec.gov/Archives/edgar/data/1806310/000119312520257858/d78879dex31.htm" TargetMode="External"/><Relationship Id="rId23" Type="http://schemas.openxmlformats.org/officeDocument/2006/relationships/hyperlink" Target="https://www.sec.gov/Archives/edgar/data/1806310/000119312520247565/d938924dex34.htm" TargetMode="External"/><Relationship Id="rId24" Type="http://schemas.openxmlformats.org/officeDocument/2006/relationships/hyperlink" Target="https://www.sec.gov/Archives/edgar/data/1806310/000119312520238197/d938924dex41.htm" TargetMode="External"/><Relationship Id="rId25" Type="http://schemas.openxmlformats.org/officeDocument/2006/relationships/hyperlink" Target="https://www.sec.gov/Archives/edgar/data/0001806310/000156459021010433/tsha-ex42_791.htm" TargetMode="External"/><Relationship Id="rId26" Type="http://schemas.openxmlformats.org/officeDocument/2006/relationships/hyperlink" Target="https://www.sec.gov/Archives/edgar/data/1806310/000119312520238197/d938924dex101.htm" TargetMode="External"/><Relationship Id="rId27" Type="http://schemas.openxmlformats.org/officeDocument/2006/relationships/hyperlink" Target="https://www.sec.gov/Archives/edgar/data/1806310/000119312520238197/d938924dex102.htm" TargetMode="External"/><Relationship Id="rId28" Type="http://schemas.openxmlformats.org/officeDocument/2006/relationships/hyperlink" Target="https://www.sec.gov/Archives/edgar/data/1806310/000119312520238197/d938924dex103.htm" TargetMode="External"/><Relationship Id="rId29" Type="http://schemas.openxmlformats.org/officeDocument/2006/relationships/hyperlink" Target="https://www.sec.gov/Archives/edgar/data/1806310/000119312520238197/d938924dex104.htm" TargetMode="External"/><Relationship Id="rId30" Type="http://schemas.openxmlformats.org/officeDocument/2006/relationships/hyperlink" Target="https://www.sec.gov/Archives/edgar/data/0001806310/000156459021010433/tsha-ex105_792.htm" TargetMode="External"/><Relationship Id="rId31" Type="http://schemas.openxmlformats.org/officeDocument/2006/relationships/hyperlink" Target="https://www.sec.gov/Archives/edgar/data/1806310/000119312520247565/d938924dex105.htm" TargetMode="External"/><Relationship Id="rId32" Type="http://schemas.openxmlformats.org/officeDocument/2006/relationships/hyperlink" Target="https://www.sec.gov/Archives/edgar/data/1806310/000119312520247565/d938924dex106.htm" TargetMode="External"/><Relationship Id="rId33" Type="http://schemas.openxmlformats.org/officeDocument/2006/relationships/hyperlink" Target="https://www.sec.gov/Archives/edgar/data/1806310/000119312520247565/d938924dex106.htm" TargetMode="External"/><Relationship Id="rId34" Type="http://schemas.openxmlformats.org/officeDocument/2006/relationships/hyperlink" Target="https://www.sec.gov/Archives/edgar/data/1806310/000119312520247565/d938924dex106.htm" TargetMode="External"/><Relationship Id="rId35" Type="http://schemas.openxmlformats.org/officeDocument/2006/relationships/hyperlink" Target="https://www.sec.gov/Archives/edgar/data/1806310/000119312520247565/d938924dex107.htm" TargetMode="External"/><Relationship Id="rId36" Type="http://schemas.openxmlformats.org/officeDocument/2006/relationships/hyperlink" Target="https://www.sec.gov/Archives/edgar/data/1806310/000119312520247565/d938924dex108.htm" TargetMode="External"/><Relationship Id="rId37" Type="http://schemas.openxmlformats.org/officeDocument/2006/relationships/hyperlink" Target="https://www.sec.gov/Archives/edgar/data/1806310/000119312520247565/d938924dex1010.htm" TargetMode="External"/><Relationship Id="rId38" Type="http://schemas.openxmlformats.org/officeDocument/2006/relationships/hyperlink" Target="https://www.sec.gov/Archives/edgar/data/1806310/000119312520247565/d938924dex1011.htm" TargetMode="External"/><Relationship Id="rId39" Type="http://schemas.openxmlformats.org/officeDocument/2006/relationships/hyperlink" Target="https://www.sec.gov/Archives/edgar/data/1806310/000156459020053602/tsha-ex107_186.htm" TargetMode="External"/><Relationship Id="rId40" Type="http://schemas.openxmlformats.org/officeDocument/2006/relationships/hyperlink" Target="https://www.sec.gov/Archives/edgar/data/0001806310/000156459021010433/tsha-ex1013_851.htm" TargetMode="External"/><Relationship Id="rId41" Type="http://schemas.openxmlformats.org/officeDocument/2006/relationships/hyperlink" Target="https://www.sec.gov/Archives/edgar/data/0001806310/000156459021010433/tsha-ex1014_852.htm" TargetMode="External"/><Relationship Id="rId42" Type="http://schemas.openxmlformats.org/officeDocument/2006/relationships/hyperlink" Target="https://www.sec.gov/Archives/edgar/data/0001806310/000156459021010433/tsha-ex1015_1051.htm" TargetMode="External"/><Relationship Id="rId43" Type="http://schemas.openxmlformats.org/officeDocument/2006/relationships/hyperlink" Target="https://www.sec.gov/Archives/edgar/data/0001806310/000156459021044462/tsha-ex102_932.htm" TargetMode="External"/><Relationship Id="rId44" Type="http://schemas.openxmlformats.org/officeDocument/2006/relationships/hyperlink" Target="https://www.sec.gov/Archives/edgar/data/0001806310/000156459021044462/tsha-ex101_249.htm" TargetMode="External"/><Relationship Id="rId45" Type="http://schemas.openxmlformats.org/officeDocument/2006/relationships/hyperlink" Target="https://www.sec.gov/Archives/edgar/data/1806310/000156459022012782/tsha-ex1018_1303.htm" TargetMode="External"/><Relationship Id="rId46" Type="http://schemas.openxmlformats.org/officeDocument/2006/relationships/hyperlink" Target="https://www.sec.gov/Archives/edgar/data/1806310/000156459022012782/tsha-ex1019_1587.htm" TargetMode="External"/><Relationship Id="rId47" Type="http://schemas.openxmlformats.org/officeDocument/2006/relationships/hyperlink" Target="https://www.sec.gov/Archives/edgar/data/1806310/000119312522273298/d395338dex101.htm" TargetMode="External"/><Relationship Id="rId48" Type="http://schemas.openxmlformats.org/officeDocument/2006/relationships/hyperlink" Target="https://www.sec.gov/Archives/edgar/data/1806310/000119312522273298/d395338dex102.htm" TargetMode="External"/><Relationship Id="rId49" Type="http://schemas.openxmlformats.org/officeDocument/2006/relationships/hyperlink" Target="https://www.sec.gov/Archives/edgar/data/1806310/000119312522273298/d395338dex103.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106477</Words>
  <CharactersWithSpaces>695824</CharactersWithSpaces>
  <Paragraphs>6048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