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tsha-20260630.htm"/>
      <w:bookmarkStart w:id="1" w:name="kstsha202606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001-39536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84-3199512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1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3000 Pegasus Park Drive</w:t>
            </w:r>
            <w:r>
              <w:rPr>
                <w:rFonts w:ascii="Times New Roman" w:hAnsi="Times New Roman"/>
                <w:color w:val="000000"/>
                <w:sz w:val="20"/>
              </w:rPr>
              <w:t xml:space="preserve"> </w:t>
            </w:r>
            <w:r>
              <w:rPr>
                <w:rFonts w:ascii="Times New Roman" w:hAnsi="Times New Roman"/>
                <w:b/>
                <w:color w:val="000000"/>
                <w:sz w:val="20"/>
              </w:rPr>
              <w:t>Ste 1430</w:t>
            </w:r>
          </w:p>
          <w:p>
            <w:pPr>
              <w:pStyle w:val="TableContents"/>
              <w:bidi w:val="0"/>
              <w:spacing w:before="0" w:after="15"/>
              <w:jc w:val="center"/>
              <w:rPr>
                <w:rFonts w:ascii="Times New Roman" w:hAnsi="Times New Roman"/>
                <w:sz w:val="20"/>
              </w:rPr>
            </w:pPr>
            <w:r>
              <w:rPr>
                <w:rFonts w:ascii="Times New Roman" w:hAnsi="Times New Roman"/>
                <w:b/>
                <w:color w:val="000000"/>
                <w:sz w:val="20"/>
              </w:rPr>
              <w:t>Dallas, Texas</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75247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(214) 612-0000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TSHA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11, 2026, the registrant had 325,833,545</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Statements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_1">
              <w:r>
                <w:rPr>
                  <w:rStyle w:val="InternetLink"/>
                  <w:rFonts w:ascii="Times New Roman" w:hAnsi="Times New Roman"/>
                  <w:color w:val="0000FF"/>
                  <w:sz w:val="20"/>
                  <w:u w:val="single"/>
                </w:rPr>
                <w:t>Statements of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organization_description_business_">
              <w:r>
                <w:rPr>
                  <w:rStyle w:val="InternetLink"/>
                  <w:rFonts w:ascii="Times New Roman" w:hAnsi="Times New Roman"/>
                  <w:color w:val="0000FF"/>
                  <w:sz w:val="20"/>
                  <w:u w:val="single"/>
                </w:rPr>
                <w:t>Notes to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managements_discussion_and">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25"/>
        <w:gridCol w:w="146"/>
        <w:gridCol w:w="211"/>
        <w:gridCol w:w="931"/>
        <w:gridCol w:w="166"/>
        <w:gridCol w:w="146"/>
        <w:gridCol w:w="214"/>
        <w:gridCol w:w="854"/>
        <w:gridCol w:w="412"/>
      </w:tblGrid>
      <w:tr>
        <w:trPr/>
        <w:tc>
          <w:tcPr>
            <w:tcW w:w="7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319,767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343,320</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per share; 10,000,000 shares authorized and no shares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per share; 700,000,000 shares authorized and 325,302,280 and 285,051,648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958,427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(711,300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246,938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343,320</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35,706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(46,639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(26,882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(89,049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(48,411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369,044,040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297,988,978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367,845,094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283,726,888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oper_1"/>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36"/>
        <w:gridCol w:w="146"/>
        <w:gridCol w:w="244"/>
        <w:gridCol w:w="855"/>
        <w:gridCol w:w="192"/>
        <w:gridCol w:w="169"/>
        <w:gridCol w:w="244"/>
        <w:gridCol w:w="855"/>
        <w:gridCol w:w="166"/>
        <w:gridCol w:w="146"/>
        <w:gridCol w:w="234"/>
        <w:gridCol w:w="819"/>
        <w:gridCol w:w="184"/>
        <w:gridCol w:w="162"/>
        <w:gridCol w:w="234"/>
        <w:gridCol w:w="819"/>
        <w:gridCol w:w="400"/>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term loan attributable to instrument specific credit risk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(46,855</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(88,088</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(45,079</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consolidated_stmt_of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360" w:after="240"/>
        <w:jc w:val="center"/>
        <w:rPr>
          <w:rFonts w:ascii="Times New Roman" w:hAnsi="Times New Roman"/>
          <w:b/>
          <w:color w:val="000000"/>
          <w:sz w:val="20"/>
        </w:rPr>
      </w:pPr>
      <w:r>
        <w:rPr>
          <w:rFonts w:ascii="Times New Roman" w:hAnsi="Times New Roman"/>
          <w:b/>
          <w:color w:val="000000"/>
          <w:sz w:val="20"/>
        </w:rPr>
        <w:t>For the Three Months Ended June 30, 2026</w:t>
      </w:r>
    </w:p>
    <w:tbl>
      <w:tblPr>
        <w:tblW w:w="10205" w:type="dxa"/>
        <w:jc w:val="left"/>
        <w:tblInd w:w="0" w:type="dxa"/>
        <w:tblLayout w:type="fixed"/>
        <w:tblCellMar>
          <w:top w:w="28" w:type="dxa"/>
          <w:left w:w="28" w:type="dxa"/>
          <w:bottom w:w="28" w:type="dxa"/>
          <w:right w:w="28" w:type="dxa"/>
        </w:tblCellMar>
      </w:tblPr>
      <w:tblGrid>
        <w:gridCol w:w="2517"/>
        <w:gridCol w:w="146"/>
        <w:gridCol w:w="146"/>
        <w:gridCol w:w="1006"/>
        <w:gridCol w:w="146"/>
        <w:gridCol w:w="146"/>
        <w:gridCol w:w="228"/>
        <w:gridCol w:w="403"/>
        <w:gridCol w:w="146"/>
        <w:gridCol w:w="146"/>
        <w:gridCol w:w="196"/>
        <w:gridCol w:w="826"/>
        <w:gridCol w:w="146"/>
        <w:gridCol w:w="146"/>
        <w:gridCol w:w="196"/>
        <w:gridCol w:w="751"/>
        <w:gridCol w:w="166"/>
        <w:gridCol w:w="146"/>
        <w:gridCol w:w="349"/>
        <w:gridCol w:w="779"/>
        <w:gridCol w:w="166"/>
        <w:gridCol w:w="146"/>
        <w:gridCol w:w="209"/>
        <w:gridCol w:w="740"/>
        <w:gridCol w:w="213"/>
      </w:tblGrid>
      <w:tr>
        <w:trPr/>
        <w:tc>
          <w:tcPr>
            <w:tcW w:w="2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287,276,885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964,666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(753,710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211,944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and pre-funded warrants upon closing of underwritten public offering, net of underwriting discounts and commissions, and other offering costs of $14,323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instrument-specific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(46,639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325,302,280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1,186,843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(800,349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387,266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40"/>
        <w:jc w:val="center"/>
        <w:rPr/>
      </w:pPr>
      <w:r>
        <w:rPr/>
        <w:t>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For the Three Months Ended June 30, 2025</w:t>
      </w:r>
    </w:p>
    <w:tbl>
      <w:tblPr>
        <w:tblW w:w="10205" w:type="dxa"/>
        <w:jc w:val="left"/>
        <w:tblInd w:w="0" w:type="dxa"/>
        <w:tblLayout w:type="fixed"/>
        <w:tblCellMar>
          <w:top w:w="28" w:type="dxa"/>
          <w:left w:w="28" w:type="dxa"/>
          <w:bottom w:w="28" w:type="dxa"/>
          <w:right w:w="28" w:type="dxa"/>
        </w:tblCellMar>
      </w:tblPr>
      <w:tblGrid>
        <w:gridCol w:w="2647"/>
        <w:gridCol w:w="146"/>
        <w:gridCol w:w="146"/>
        <w:gridCol w:w="1006"/>
        <w:gridCol w:w="146"/>
        <w:gridCol w:w="146"/>
        <w:gridCol w:w="228"/>
        <w:gridCol w:w="403"/>
        <w:gridCol w:w="146"/>
        <w:gridCol w:w="146"/>
        <w:gridCol w:w="196"/>
        <w:gridCol w:w="691"/>
        <w:gridCol w:w="146"/>
        <w:gridCol w:w="146"/>
        <w:gridCol w:w="196"/>
        <w:gridCol w:w="751"/>
        <w:gridCol w:w="166"/>
        <w:gridCol w:w="146"/>
        <w:gridCol w:w="288"/>
        <w:gridCol w:w="844"/>
        <w:gridCol w:w="166"/>
        <w:gridCol w:w="146"/>
        <w:gridCol w:w="209"/>
        <w:gridCol w:w="740"/>
        <w:gridCol w:w="214"/>
      </w:tblGrid>
      <w:tr>
        <w:trPr/>
        <w:tc>
          <w:tcPr>
            <w:tcW w:w="2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205,054,570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681,177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(623,834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55,059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and pre-funded warrants upon closing of underwritten public offering, net of underwriting discounts and commissions, and other offering costs of $14,323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57,777,777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9,607,145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instrument-specific credit risk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272,730,060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900,139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(650,716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248,727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360" w:after="240"/>
        <w:jc w:val="center"/>
        <w:rPr>
          <w:rFonts w:ascii="Times New Roman" w:hAnsi="Times New Roman"/>
          <w:b/>
          <w:color w:val="000000"/>
          <w:sz w:val="20"/>
        </w:rPr>
      </w:pPr>
      <w:r>
        <w:rPr>
          <w:rFonts w:ascii="Times New Roman" w:hAnsi="Times New Roman"/>
          <w:b/>
          <w:color w:val="000000"/>
          <w:sz w:val="20"/>
        </w:rPr>
        <w:t>For the Six Months Ended June 30, 2026</w:t>
      </w:r>
    </w:p>
    <w:tbl>
      <w:tblPr>
        <w:tblW w:w="10205" w:type="dxa"/>
        <w:jc w:val="left"/>
        <w:tblInd w:w="0" w:type="dxa"/>
        <w:tblLayout w:type="fixed"/>
        <w:tblCellMar>
          <w:top w:w="28" w:type="dxa"/>
          <w:left w:w="28" w:type="dxa"/>
          <w:bottom w:w="28" w:type="dxa"/>
          <w:right w:w="28" w:type="dxa"/>
        </w:tblCellMar>
      </w:tblPr>
      <w:tblGrid>
        <w:gridCol w:w="2619"/>
        <w:gridCol w:w="146"/>
        <w:gridCol w:w="146"/>
        <w:gridCol w:w="841"/>
        <w:gridCol w:w="146"/>
        <w:gridCol w:w="146"/>
        <w:gridCol w:w="196"/>
        <w:gridCol w:w="375"/>
        <w:gridCol w:w="146"/>
        <w:gridCol w:w="146"/>
        <w:gridCol w:w="206"/>
        <w:gridCol w:w="787"/>
        <w:gridCol w:w="146"/>
        <w:gridCol w:w="146"/>
        <w:gridCol w:w="207"/>
        <w:gridCol w:w="725"/>
        <w:gridCol w:w="151"/>
        <w:gridCol w:w="146"/>
        <w:gridCol w:w="402"/>
        <w:gridCol w:w="838"/>
        <w:gridCol w:w="151"/>
        <w:gridCol w:w="146"/>
        <w:gridCol w:w="246"/>
        <w:gridCol w:w="801"/>
        <w:gridCol w:w="200"/>
      </w:tblGrid>
      <w:tr>
        <w:trPr/>
        <w:tc>
          <w:tcPr>
            <w:tcW w:w="2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285,051,648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958,427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(711,300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246,938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and pre-funded warrants upon closing of underwritten public offering, net of underwriting discounts and commissions, and other offering costs of $14,323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215,676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and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2,004,332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667,881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on instrument-specific credit risk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(89,049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325,302,280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1,186,843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(800,349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387,266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pPr>
      <w:r>
        <w:rPr/>
        <w:t> </w:t>
      </w:r>
    </w:p>
    <w:p>
      <w:pPr>
        <w:pStyle w:val="TextBody"/>
        <w:bidi w:val="0"/>
        <w:spacing w:before="360" w:after="240"/>
        <w:jc w:val="center"/>
        <w:rPr>
          <w:rFonts w:ascii="Times New Roman" w:hAnsi="Times New Roman"/>
          <w:b/>
          <w:color w:val="000000"/>
          <w:sz w:val="20"/>
        </w:rPr>
      </w:pPr>
      <w:r>
        <w:rPr>
          <w:rFonts w:ascii="Times New Roman" w:hAnsi="Times New Roman"/>
          <w:b/>
          <w:color w:val="000000"/>
          <w:sz w:val="20"/>
        </w:rPr>
        <w:t>For the Six Months Ended June 30, 2025</w:t>
      </w:r>
    </w:p>
    <w:tbl>
      <w:tblPr>
        <w:tblW w:w="10205" w:type="dxa"/>
        <w:jc w:val="left"/>
        <w:tblInd w:w="0" w:type="dxa"/>
        <w:tblLayout w:type="fixed"/>
        <w:tblCellMar>
          <w:top w:w="28" w:type="dxa"/>
          <w:left w:w="28" w:type="dxa"/>
          <w:bottom w:w="28" w:type="dxa"/>
          <w:right w:w="28" w:type="dxa"/>
        </w:tblCellMar>
      </w:tblPr>
      <w:tblGrid>
        <w:gridCol w:w="2901"/>
        <w:gridCol w:w="146"/>
        <w:gridCol w:w="146"/>
        <w:gridCol w:w="841"/>
        <w:gridCol w:w="146"/>
        <w:gridCol w:w="146"/>
        <w:gridCol w:w="216"/>
        <w:gridCol w:w="415"/>
        <w:gridCol w:w="146"/>
        <w:gridCol w:w="146"/>
        <w:gridCol w:w="191"/>
        <w:gridCol w:w="620"/>
        <w:gridCol w:w="151"/>
        <w:gridCol w:w="146"/>
        <w:gridCol w:w="210"/>
        <w:gridCol w:w="736"/>
        <w:gridCol w:w="151"/>
        <w:gridCol w:w="146"/>
        <w:gridCol w:w="375"/>
        <w:gridCol w:w="781"/>
        <w:gridCol w:w="151"/>
        <w:gridCol w:w="146"/>
        <w:gridCol w:w="224"/>
        <w:gridCol w:w="729"/>
        <w:gridCol w:w="199"/>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204,943,306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677,859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(602,305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71,525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and pre-funded warrants upon closing of underwritten public offering, net of underwriting discounts and commissions, and other offering costs of $14,323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57,777,777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9,607,145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and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on instrument-specific credit risk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(48,411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272,730,060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900,139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(650,716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248,727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net gain on 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change in fair value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research and development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underwritten public offering, net of underwriting discounts and sales commissions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shelf registration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common stock issuances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141,636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315,361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315,361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sz w:val="20"/>
        </w:rPr>
      </w:pPr>
      <w:bookmarkStart w:id="9" w:name="note_1organization_description_business_"/>
      <w:bookmarkEnd w:id="9"/>
      <w:r>
        <w:rPr>
          <w:rFonts w:ascii="Times New Roman" w:hAnsi="Times New Roman"/>
          <w:b/>
          <w:color w:val="000000"/>
          <w:sz w:val="20"/>
        </w:rPr>
        <w:t>Note 1—Organization and Description of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Taysha Gene Therapies, Inc. (the “Company” or “Taysha”) was originally formed under the laws of the State of Texas on September 20, 2019. Taysha converted to a Delaware corporation on February 13, 2020, which had no impact to the Company’s par value or issued and authorized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Taysha is a clinical-stage biotechnology company focused on advancing AAV-based gene therapies for severe monogenic diseases of the central nervous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entered into a Sales Agreement (the “Sales Agreement”), with SVB Securities LLC and Wells Fargo Securities, LLC (the “Sales Agents”), pursuant to which the Company may issue and sell, from time to time at its discretion, shares of its common stock having an aggregate offering price of up to $150.0 million. In March 2022, the Company amended the Sales Agreement to, among other things, include Goldman Sachs &amp; Co. LLC as an additional Sales Agent. On December 13, 2024, the Company filed a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could be offered and sold pursuant to the Sales Agreement. On May 28, 2025, the Company suspended the at-the-market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4, 2025, the Company and Leerink Partners LLC entered into an Amendment to the Sales Agreement pursuant to which the Sales Agreement was terminated solely with respect to Leerink Partners LLC. In addition, on November 4, 2025, the Company and Goldman Sachs &amp; Co. LLC and Wells Fargo Securities, LLC, as sales agents (the “Remaining Sales Agents”), entered into an Amendment to the Sales Agreement (together with the Sales Agreement, the “Amended Sales Agreement”), to provide for an increase in the aggregate offering amount under the Sales Agreement, such that as of November 4, 2025, the Company may offer and sell shares of common stock having an aggregate offering price of up to $212.0 million under the Amended Sales Agreement. The material terms and conditions of the Sales Agreement otherwise remain unchanged. On November 4, 2025, the Company filed a new automatic shelf registration statement on Form S-3ASR, including up to $200.0 million shares of common stock that could be offered and sold pursuant to the Amended Sales Agreement. In November and December 2025, the Company sold 10,230,186 shares of common stock under the Amended Sales Agreement and received $48.4 million in net proceeds.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June 30, 2026, the Company had an accumulated deficit of $800.3 million. The Company expects to continue to incur significant expenses and operating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24, 2026, the Company entered into an underwriting agreement (the “June 2026 Underwriting Agreement”) with Jefferies LLC and Goldman Sachs &amp; Co., LLC, as representatives of the several underwriters set forth therein (collectively, the “Underwriters”), to issue and sell 32,500,001 shares of the Company’s common stock and, in lieu of common stock to certain investors, pre-funded warrants to purchase 833,333 shares of its common stock in an underwritten public offering (the “June 2026 Offering”), pursuant to an automatic effective shelf registration statement on Form S-3ASR and a related prospectus and prospectus supplement. The offering price to the public was $6.00 per share of common stock and $5.999 per pre-funded warrant, which was the price to the public of each share of common stock sold in the June 2026 Offering minus the $0.001 exercise price per pre-funded warrant. The Underwriters purchased the shares and the pre-funded warrants from the Company pursuant to the June 2026 Underwriting Agreement at a price of $5.64 per share and $5.639 per pre-funded warrant, respectively. See Note 10 for additional information. The closing of the June 2026 Offering occurred on June 26, 2026. In addition, the Company granted the Underwriters an option to purchase, for a period of 30 days, up to an additional 5,000,000 shares of common stock, which the Underwriters exercised in full on June 26, 2026. The total net proceeds from the June 2026 Offering were $215.6 million, including the proceeds from the Underwriter’s option,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no assurance that such financing will be available or will be on terms acceptable to the Company. As of June 30, 2026, the Company had cash and cash equivalents of $455.4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2025, filed with the Securities and Exchange Commission (“SEC”) on March 19, 2026 (the “2025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2025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2025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include the accounts of Taysha and its wholly owned subsidiaries. All intercompany transactions and balances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estimating manufacturing accruals and accrued or prepaid research and development expenses, the measurement of impairment of long-lived assets, and the valuation of the Trinity Term Loans (as defined below) that are carried at fair value.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significant accounting policies as disclosed in Note 2 to the audited consolidated financial statements included in the 2025 Annual Report.</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recently adopted accounting pronouncements from those disclosed in the section titled “Financial Statements and Supplementary Data” included in the 2025 Annual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xml:space="preserve">, to improve expense disclosure requirements under ASC 220, </w:t>
      </w:r>
      <w:r>
        <w:rPr>
          <w:rFonts w:ascii="Times New Roman" w:hAnsi="Times New Roman"/>
          <w:i/>
          <w:color w:val="000000"/>
          <w:sz w:val="20"/>
        </w:rPr>
        <w:t>Income Statement - Reporting Comprehensive Income</w:t>
      </w:r>
      <w:r>
        <w:rPr>
          <w:rFonts w:ascii="Times New Roman" w:hAnsi="Times New Roman"/>
          <w:color w:val="000000"/>
          <w:sz w:val="20"/>
        </w:rPr>
        <w:t xml:space="preserve">, through enhancing disclosures about significant segment expenses. The guidance requires entities to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disclosure about specific 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 periods beginning after December 15, 2026, and interim periods beginning after December 15, 2027, applied either prospectively or retrospectively with early adoption permitted. The Company is still evaluating the impact this ASU will have on its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that are measured at fair value on a recurring basis consist of money market funds, the Trinity Term Loans and the success fee derivative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 – 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 – 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an active market with no valuation adjustment, as Level 1 assets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Trinity Term Loans and Success Fee liabilities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Fees (as defined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3931"/>
        <w:gridCol w:w="146"/>
        <w:gridCol w:w="218"/>
        <w:gridCol w:w="592"/>
        <w:gridCol w:w="146"/>
        <w:gridCol w:w="146"/>
        <w:gridCol w:w="465"/>
        <w:gridCol w:w="1260"/>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Property, plant and equipment, net consisted of the following (in thousands):</w:t>
      </w:r>
    </w:p>
    <w:tbl>
      <w:tblPr>
        <w:tblW w:w="5697" w:type="dxa"/>
        <w:jc w:val="left"/>
        <w:tblInd w:w="0" w:type="dxa"/>
        <w:tblLayout w:type="fixed"/>
        <w:tblCellMar>
          <w:top w:w="28" w:type="dxa"/>
          <w:left w:w="28" w:type="dxa"/>
          <w:bottom w:w="28" w:type="dxa"/>
          <w:right w:w="28" w:type="dxa"/>
        </w:tblCellMar>
      </w:tblPr>
      <w:tblGrid>
        <w:gridCol w:w="2926"/>
        <w:gridCol w:w="146"/>
        <w:gridCol w:w="211"/>
        <w:gridCol w:w="631"/>
        <w:gridCol w:w="166"/>
        <w:gridCol w:w="146"/>
        <w:gridCol w:w="299"/>
        <w:gridCol w:w="96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net includes $0.1 million and $0.3 million of assets capitalized as finance leases as of June 30, 2026 and December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$0.4 million and $0.3 million for the three months ended June 30, 2026 and 2025, respectively. Depreciation expense was $0.6 million for each of the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the Company disposed of construction in progress for leasehold improvements at its manufacturing facility in connection with the termination of its Durham Lease (as defined below). The Company recorded a loss on asset disposal of $4.0 million, which is recorded as a component of the net gain on lease termination in the condensed consolidated statements of operations for the three and six months ended June 30, 2026. See Note 5 for additional information on the termination of the Durham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office, laboratory, and manufacturing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commenced on May 27, 2021, and has a term of ten years. The Company has an option to extend the term of the Dallas Lease for one additional period of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Amendment commenced on July 1, 2022, and has a term of approximately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a right of first refusal with respect to certain additional office space on the 15</w:t>
      </w:r>
      <w:r>
        <w:rPr>
          <w:rFonts w:ascii="Times New Roman" w:hAnsi="Times New Roman"/>
          <w:color w:val="000000"/>
          <w:sz w:val="13"/>
        </w:rPr>
        <w:t>th</w:t>
      </w:r>
      <w:r>
        <w:rPr>
          <w:rFonts w:ascii="Times New Roman" w:hAnsi="Times New Roman"/>
          <w:color w:val="000000"/>
          <w:sz w:val="20"/>
        </w:rPr>
        <w:t xml:space="preserve"> floor at 3000 Pegasus Park Drive, Dallas, Texas 75247 before the Dallas Landlord accepts any offer for such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Durham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was expected to have a term of approximately fifteen years and six months. The Company had two options to extend the term of the Durham Lease, each for a period of an additional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was funded by the escrowed funds. The escrow funds were recorded as restricted cash on the condensed consolidated balance sheets as of December 31, 2025 with $0.5 million recorded in current assets and $2.1 million in noncurrent assets. The Durham Landlord had the right to terminate the Durham Lease upon specified events of default, including the Company’s failure to pay rent in a timely manner and upon the occurrence of certain events of insolvency with respect to the Company. On June 12, 2026, the Company entered into a mutual lease termination agreement (the “Termination Agreement”) with the Durham Landlord and agreed to pay the Durham Landlord a fee of $0.3 million and vacate the facility. Pursuant to the Termination Agreement, the Company and the Durham Landlord agreed to terminate the escrow agreement and release each other from any further obligations thereunder. The escrowed funds were disbursed in accordance with the Termination Agreement. In connection with the Termination Agreement, the Company agreed to pay a third party broker commission of $1.3 million upon execution of the Termination Agreement with the Durham Landlord.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recorded the Termination Agreement as a lease termination in accordance with ASC 842, </w:t>
      </w:r>
      <w:r>
        <w:rPr>
          <w:rFonts w:ascii="Times New Roman" w:hAnsi="Times New Roman"/>
          <w:i/>
          <w:color w:val="000000"/>
          <w:sz w:val="20"/>
        </w:rPr>
        <w:t>Leases,</w:t>
      </w:r>
      <w:r>
        <w:rPr>
          <w:rFonts w:ascii="Times New Roman" w:hAnsi="Times New Roman"/>
          <w:color w:val="000000"/>
          <w:sz w:val="20"/>
        </w:rPr>
        <w:t xml:space="preserve"> and recognized a net gain of $3.4 million as a component of operating expenses in the condensed consolidated statements of operations for the three and six months ended June 30, 2026. The net gain is comprised of a $8.7 million gain on lease termination related to the derecognition of the operating lease right-of use asset and corresponding lease liability, partially offset by both a loss on asset disposal of $4.0 million related to construction in progress leasehold improvements and third party broker commission of $1.3 million paid in connection with the Termination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all lease costs recognized under ASC 842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lease costs recognized under ASC 842 and other information pertaining to the Company’s operating leases for the three and six months ended June 30, 2026 and 2025 (in thousands):</w:t>
      </w:r>
    </w:p>
    <w:p>
      <w:pPr>
        <w:pStyle w:val="TextBody"/>
        <w:bidi w:val="0"/>
        <w:spacing w:before="120" w:after="283"/>
        <w:jc w:val="left"/>
        <w:rPr/>
      </w:pPr>
      <w:r>
        <w:rPr/>
        <w:t> </w:t>
      </w:r>
    </w:p>
    <w:tbl>
      <w:tblPr>
        <w:tblW w:w="7155" w:type="dxa"/>
        <w:jc w:val="left"/>
        <w:tblInd w:w="0" w:type="dxa"/>
        <w:tblLayout w:type="fixed"/>
        <w:tblCellMar>
          <w:top w:w="28" w:type="dxa"/>
          <w:left w:w="28" w:type="dxa"/>
          <w:bottom w:w="28" w:type="dxa"/>
          <w:right w:w="28" w:type="dxa"/>
        </w:tblCellMar>
      </w:tblPr>
      <w:tblGrid>
        <w:gridCol w:w="1756"/>
        <w:gridCol w:w="306"/>
        <w:gridCol w:w="611"/>
        <w:gridCol w:w="212"/>
        <w:gridCol w:w="306"/>
        <w:gridCol w:w="829"/>
        <w:gridCol w:w="146"/>
        <w:gridCol w:w="146"/>
        <w:gridCol w:w="301"/>
        <w:gridCol w:w="817"/>
        <w:gridCol w:w="208"/>
        <w:gridCol w:w="208"/>
        <w:gridCol w:w="301"/>
        <w:gridCol w:w="817"/>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information related to the remaining lease term and discount rate are as follows:</w:t>
      </w:r>
    </w:p>
    <w:p>
      <w:pPr>
        <w:pStyle w:val="TextBody"/>
        <w:bidi w:val="0"/>
        <w:spacing w:before="120" w:after="283"/>
        <w:jc w:val="left"/>
        <w:rPr/>
      </w:pPr>
      <w:r>
        <w:rPr/>
        <w:t> </w:t>
      </w:r>
    </w:p>
    <w:tbl>
      <w:tblPr>
        <w:tblW w:w="9374" w:type="dxa"/>
        <w:jc w:val="left"/>
        <w:tblInd w:w="0" w:type="dxa"/>
        <w:tblLayout w:type="fixed"/>
        <w:tblCellMar>
          <w:top w:w="28" w:type="dxa"/>
          <w:left w:w="28" w:type="dxa"/>
          <w:bottom w:w="28" w:type="dxa"/>
          <w:right w:w="28" w:type="dxa"/>
        </w:tblCellMar>
      </w:tblPr>
      <w:tblGrid>
        <w:gridCol w:w="5641"/>
        <w:gridCol w:w="146"/>
        <w:gridCol w:w="259"/>
        <w:gridCol w:w="1016"/>
        <w:gridCol w:w="271"/>
        <w:gridCol w:w="350"/>
        <w:gridCol w:w="1375"/>
        <w:gridCol w:w="316"/>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20"/>
        <w:jc w:val="left"/>
        <w:rPr>
          <w:rFonts w:ascii="Times New Roman" w:hAnsi="Times New Roman"/>
          <w:color w:val="000000"/>
          <w:sz w:val="20"/>
        </w:rPr>
      </w:pPr>
      <w:r>
        <w:rPr>
          <w:rFonts w:ascii="Times New Roman" w:hAnsi="Times New Roman"/>
          <w:color w:val="000000"/>
          <w:sz w:val="20"/>
        </w:rPr>
        <w:t>As of June 30, 2026, future minimum commitments under ASC 842 under the Company’s operating and finance leases were as follows (in thousands):</w:t>
      </w:r>
    </w:p>
    <w:tbl>
      <w:tblPr>
        <w:tblW w:w="4580" w:type="dxa"/>
        <w:jc w:val="left"/>
        <w:tblInd w:w="0" w:type="dxa"/>
        <w:tblLayout w:type="fixed"/>
        <w:tblCellMar>
          <w:top w:w="28" w:type="dxa"/>
          <w:left w:w="28" w:type="dxa"/>
          <w:bottom w:w="28" w:type="dxa"/>
          <w:right w:w="28" w:type="dxa"/>
        </w:tblCellMar>
      </w:tblPr>
      <w:tblGrid>
        <w:gridCol w:w="2446"/>
        <w:gridCol w:w="244"/>
        <w:gridCol w:w="732"/>
        <w:gridCol w:w="166"/>
        <w:gridCol w:w="260"/>
        <w:gridCol w:w="521"/>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6—Astellas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Subject to certain extensions, the Rett Option was exercisable from the Effective Date through a specified period of time following Astellas’ receipt of (i) certain clinical data from the female pediatric trial and (ii)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 The Company delivered the Rett Data Package to Astellas in mid-2025. Under the Option Agreement, Astellas was required to decide whether to exercise the Rett Option within 90 days after Astellas’ receipt of the Rett Data Package. In October 2025, the Rett Option expired without being exercised. Following the expiration of the Option Agreement, the Company now holds unencumbered rights to the TSHA-102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Rett Option Period, which has now expired, the Company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All of Astellas’ rights with respect to a Change of Control of the Company terminated as a result of the expiration of the Rett Option Period and the Option Agreement in October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partial consideration for the rights granted to Astellas under the Option Agreement, Astellas paid the Company an upfront payment of $20.0 million (the “Upfront Payment”). Astellas or any of its affiliates had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the Option Agreement expired without Astellas exercising the GAN Option or Rett Option. Pursuant to the expiration of the Option Agreement, the Company regained full and unencumbered global rights to TSHA-102.</w:t>
      </w:r>
    </w:p>
    <w:p>
      <w:pPr>
        <w:pStyle w:val="TextBody"/>
        <w:bidi w:val="0"/>
        <w:jc w:val="left"/>
        <w:rPr>
          <w:rFonts w:ascii="Times New Roman" w:hAnsi="Times New Roman"/>
          <w:i/>
          <w:color w:val="000000"/>
          <w:sz w:val="20"/>
        </w:rPr>
      </w:pPr>
      <w:r>
        <w:rPr>
          <w:rFonts w:ascii="Times New Roman" w:hAnsi="Times New Roman"/>
          <w:i/>
          <w:color w:val="000000"/>
          <w:sz w:val="20"/>
        </w:rPr>
        <w:t>Astellas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hAnsi="Times New Roman"/>
          <w:i/>
          <w:color w:val="000000"/>
          <w:sz w:val="20"/>
        </w:rPr>
        <w:t xml:space="preserve">Fair Value Measurement </w:t>
      </w:r>
      <w:r>
        <w:rPr>
          <w:rFonts w:ascii="Times New Roman" w:hAnsi="Times New Roman"/>
          <w:color w:val="000000"/>
          <w:sz w:val="20"/>
        </w:rPr>
        <w:t xml:space="preserve">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determined that the Option Agreement falls within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$36.1 million which is comprised of the $20.0 million Upfront Payment and the $16.1 million allocated from the Astellas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condensed consolidated balance sheet at the inception of the Astellas Transactions.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allocation of the transaction price to the three performance obligations at contract inception (amounts in thousands):</w:t>
      </w:r>
    </w:p>
    <w:tbl>
      <w:tblPr>
        <w:tblW w:w="6348" w:type="dxa"/>
        <w:jc w:val="left"/>
        <w:tblInd w:w="0" w:type="dxa"/>
        <w:tblLayout w:type="fixed"/>
        <w:tblCellMar>
          <w:top w:w="28" w:type="dxa"/>
          <w:left w:w="28" w:type="dxa"/>
          <w:bottom w:w="28" w:type="dxa"/>
          <w:right w:w="28" w:type="dxa"/>
        </w:tblCellMar>
      </w:tblPr>
      <w:tblGrid>
        <w:gridCol w:w="3421"/>
        <w:gridCol w:w="346"/>
        <w:gridCol w:w="520"/>
        <w:gridCol w:w="1670"/>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Rett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GAN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Rett research and development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allocated to the material rights was recognized at a point in time when each option period expired or when a decision was made by Astellas to exercise or not exercise each option. Revenue from the Rett research and development activities was recognized as activities were performed using an input method, according to the costs incurred as related to the total costs expected to be incurred to satisfy the performance obligation. The transfer of control occurred over this time period and was a reliable measure of progress towards satisfying the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of $2.0 million and $4.3 million from Rett research and development activities for the three and six months ended June 30, 2025, respectively. In October 2025, the Rett Option expired without being exercised. Following the expiration of the Option Agreement, the Company now holds unencumbered rights to the TSHA-102 program. The Company recognized revenue of $5.5 million from the Rett Option during the year ended December 31, 2025. As of December 31, 2025 all revenue from the Astellas Agreements was recognized and therefore the Company had no deferred revenue on the condensed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 Term Loans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Loan with Trinity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2025 (the “Trinity Refinance Date”), the Company entered into a Loan and Security Agreement (the “2025 Trinity Term Loan Agreement”), by and among the Company, the lenders party thereto from time to time (the “2025 Trinity Lenders”) and Trinity Capital Inc., as administrative agent and collateral agent for the 2025 Trinity Lenders (“Trinity”). The 2025 Trinity Term Loan Agreement provides for (i) on the Trinity Refinance Date, $50.0 million aggregate principal amount of term loans (“Tranche A”), (ii) from the Trinity Refinance Date until March 31, 2028 an additional $25.0 million term loan facility contingent on delivering evidence satisfactory to Trinity that the Company has submitted a biologics license application (“BLA”) to the FDA for TSHA-102 in Rett Syndrome (“Tranche B”), (iii) from the Trinity Refinance Date until March 31, 2029, an additional $25.0 million term loan facility contingent on delivering evidence satisfactory to Trinity that the Company has received BLA approval from the FDA for TSHA-102 in Rett Syndrome (collectively, the “2025 Trinity Term Loans”). The Company drew $50.0 million in term loans on the Trinity Refinance Date. The existing 2023 Trinity Term Loan Agreement was terminated and the existing 2023 Trinity Term Loans were repaid concurrently with entry into the 2025 Trinity Term Loan Agreement and the draw of Tranche 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the Company is required to pay equal monthly installments of principal through August 1, 2030 (the “New Maturity Date”). As of June 30, 2026, $50.0 million was outstanding on the 2025 Trinity Term Loans, recorded as Term Loan, net on the condensed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Future principal debt payments on the Trinity Term Loan Agreement as of June 30, 2026 are as follows (in thousands):</w:t>
      </w:r>
    </w:p>
    <w:tbl>
      <w:tblPr>
        <w:tblW w:w="3565" w:type="dxa"/>
        <w:jc w:val="left"/>
        <w:tblInd w:w="0" w:type="dxa"/>
        <w:tblLayout w:type="fixed"/>
        <w:tblCellMar>
          <w:top w:w="28" w:type="dxa"/>
          <w:left w:w="28" w:type="dxa"/>
          <w:bottom w:w="28" w:type="dxa"/>
          <w:right w:w="28" w:type="dxa"/>
        </w:tblCellMar>
      </w:tblPr>
      <w:tblGrid>
        <w:gridCol w:w="2341"/>
        <w:gridCol w:w="146"/>
        <w:gridCol w:w="211"/>
        <w:gridCol w:w="67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Trinity Refinance Date, the Company paid a commitment fee of $0.1 million to Trinity. Upon any future draw of 2025 Trinity Term Loans, the Company is required to pay an additional commitment fee of 1.00% of the aggregate principal amount of such 2025 Trinity Term Loans then funded.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the Company will pay to Trinity an end of term payment equal to 5.00% of the original principal amount of the 2025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2025 Trinity Term Loan Agreement are secured by a perfected security interest in all of the Company’s assets except for certain customarily excluded property pursuant to the terms of the 2025 Trinity Term Loan Agreement. There are no financial or minimum cash balance covenants and no warrants associated with the 2025 Trinity Term Loan Agreement. The 2025 Trinity Term Loan Agreement contains various covenants that limit the Company’s ability to engage in specified types of transactions without the consent of Trinity and the 2025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paying cash dividends; and entering into certain transactions with the Company’s affiliates, in each case subject to customary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2025 Trinity Lenders may declare all outstanding obligations immediately due and payable and exercise all of its rights and remedies as set forth in the 2025 Trinity Term Loan Agreement and under applicable law.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assessed the terms and features of the 2025 Trinity Term Loans and determined that the 2025 Trinity Term Loan constituted a debt modification under ASC 470-50, </w:t>
      </w:r>
      <w:r>
        <w:rPr>
          <w:rFonts w:ascii="Times New Roman" w:hAnsi="Times New Roman"/>
          <w:i/>
          <w:color w:val="000000"/>
          <w:sz w:val="20"/>
        </w:rPr>
        <w:t xml:space="preserve">Debt - Modifications and Extinguishments </w:t>
      </w:r>
      <w:r>
        <w:rPr>
          <w:rFonts w:ascii="Times New Roman" w:hAnsi="Times New Roman"/>
          <w:color w:val="000000"/>
          <w:sz w:val="20"/>
        </w:rPr>
        <w:t xml:space="preserve">(“ASC 470”). As such, the 2025 Trinity Term Loans are accounted for as a continuation of the original debt, and no gain or loss on extinguishment was recognized. The Company continues to apply the fair value option under ASC 825, </w:t>
      </w:r>
      <w:r>
        <w:rPr>
          <w:rFonts w:ascii="Times New Roman" w:hAnsi="Times New Roman"/>
          <w:i/>
          <w:color w:val="000000"/>
          <w:sz w:val="20"/>
        </w:rPr>
        <w:t xml:space="preserve">Financial Instruments </w:t>
      </w:r>
      <w:r>
        <w:rPr>
          <w:rFonts w:ascii="Times New Roman" w:hAnsi="Times New Roman"/>
          <w:color w:val="000000"/>
          <w:sz w:val="20"/>
        </w:rPr>
        <w:t>(“ASC 825”) which was initially elected at the time of the 2023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fair value option, the 2025 Trinity Term Loans are measured at fair value on a recurring basis, with changes in fair value recognized in other income (expense) in the condensed consolidated statements of operations. The Company has not elected to present interest expense separately from changes in fair value and therefore will not present interest expense associated with the 2025 Trinity Term Loans. Any changes in fair value attributable to instrument-specific credit risk are presented in other comprehensive income or loss, if material. Under the fair value option, debt issuance costs are expensed as incurred. The Company incurred $1.1 million of debt issuance costs, of which $0.1 million were paid to Trinity and $1.0 million were paid to third parties associated with the 2025 Trinity Term Loans.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2025 Trinity Term Loan Agreement, the Company entered into a Success Fee Agreement with Trinity which specifies the terms regarding a fee in the amount of $0.5 million plus 5% of the principal amount of the funded 2025 Trinity Term Loans under Tranche B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 The Company determined that the 2025 Success Fee represents a freestanding financial instrument and should be accounted for as a derivative liability under ASC 815, </w:t>
      </w:r>
      <w:r>
        <w:rPr>
          <w:rFonts w:ascii="Times New Roman" w:hAnsi="Times New Roman"/>
          <w:i/>
          <w:color w:val="000000"/>
          <w:sz w:val="20"/>
        </w:rPr>
        <w:t>Derivatives and Hedging</w:t>
      </w:r>
      <w:r>
        <w:rPr>
          <w:rFonts w:ascii="Times New Roman" w:hAnsi="Times New Roman"/>
          <w:color w:val="000000"/>
          <w:sz w:val="20"/>
        </w:rPr>
        <w:t xml:space="preserve"> (“ASC 815”) and recorded a liability within other non-current liabilities on the consolidated balance sheet, at fair value on the Trinity Refinance Date and will be marked-to-market at the end of each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 with gains and losses recognized as a component of other income (expense)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from the 2025 Trinity Term Loans were allocated to the 2025 Success Fee and 2025 Trinity Term Loans based on their respective fair values on the Trinity Refinance Date. The fair values were determined utilizing a probability-weighted income approach, including variables for the timing of a success event and other probability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fair value of the 2025 Trinity Term Loans and the 2025 Success Fee using a probability-weighted income approach and recorded the loan at fair value of $49.8 million and the 2025 Success Fee liability at fair value of $0.2 million in the consolidated balance sheet at issuance. The Company calculated the discounted cash flows of the 2025 Trinity Term Loans using a discount rate of 13.86% and adjusted for the probability of various repayment scenarios. The Company calculated the discounted cash flows of the 2025 Success Fee liability using a discount rate of 13.86% then adjusted for the probability of achievement of certain corporate development value-inflection milestones.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2023 Loan with Trinity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“Trinity Closing Date”), the Company entered into a Loan and Security Agreement (the “2023 Trinity Term Loan Agreement”), by and among the Company, the lenders party thereto from time to time (the “Trinity Lenders”) and Trinity Capital Inc., as administrative agent and collateral agent for the Trinity Lenders (“Trinity”). The 2023 Trinity Term Loan Agreement provided for, on the Trinity Closing Date, $40.0 million aggregate principal amount of term loans (collectively, the “2023 Trinity Term Loans”). The Company drew the Trinity Term Loans in full on the Trinity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applicable to the 2023 Trinity Term Loans was the greater of (a) the Wall Street Journal (“WSJ”) Prime Rate plus 4.50% or (b) 12.75% per annum. The 2023 Trinity Term Loans were interest only from the Trinity Closing Date through 36 months from the Trinity Closing Date, which could have been extended to 48 months from the Trinity Closing Date upon the satisfaction of certain milestones set forth in the 2023 Trinity Term Loan Agreement, after which the Company was required to pay equal monthly installments of principal through November 13, 2028 (the “Maturity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2023 Trinity Term Loans could have been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 the 2023 Trinity Term Loans. Upon repayment in full of the 2023 Trinity Term Loans, the Company paid to Trinity an end of term payment equal to $0.6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2023 Trinity Term Loan Agreement were secured by a perfected security interest in all of the Company’s assets except for certain customarily excluded property pursuant to the terms of the 2023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the terms and features of the 2023 Trinity Term Loans and determined that the Company was eligible to elect the fair value option under ASC 825. The 2023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2023 Trinity Term Loans, which include accrued interest, if any, are recorded as a component of other expense (income) in the condensed consolidated statements of operations. The Company did not elect to present interest expense separately from changes in fair value and therefore did not present interest expense associated with the 2023 Trinity Term Loans. Any changes in fair value caused by instrument-specific credit risk were presented separately in other comprehensive income or loss if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2023 Trinity Term Loans, the Company entered into a Success Fee Agreement with Trinity which specifies the terms regarding a fee in the amount of 10% of the principal amount of the funded 2023 Trinity Term Loans (the “2023 Success Fee”). The 2023 Success Fee is payable upon the achievement of certain corporate development value-inflection milestones. The 2023 Success Fee survives the termination of the 2023 Trinity Term Loans and expires on the earlier of ten years, or payment in full in cash of the Success Fee. The 2023 Success Fee remains in effect after the termination of the 2023 Trinity Term Loans upon entry into the 2025 Trinity Term Loan Agreement and the draw of Tranche 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that the 2023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Trinity Term Loans are accounted for as a continuation of the original debt in accordance with ASC 450, and the Company continues to apply the fair value option under ASC 825, which was initially elected at the time of the 2023 Trinity Term Loan Agreement. The Company remeasured the 2025 Trinity Term Loans, 2025 Success Fee and 2023 Success Fee as of June 30, 2026 using a probability weighted income approach. The Company calculated the discounted cash flows of the 2025 Trinity Term Loans using a discount rate of 15.65% and adjusted for the probability of various repayment scenarios. The Company calculated the discounted cash flows of the 2023 Success Fee and 2025 Success Fee (the “Success Fees”), using a discount rate of 15.65% then adjusted for the probability of achievement of certain corporate development value-inflection milestones. As of June 30, 2026, the Company recorded the Tranche A Loan at a fair value of $49.3 million and the Success Fees at $1.6 million in the consolidated balance sheet.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reconciles the change in fair value of the 2025 Trinity Term Loans during the six months ended June 30, 2026 (in thousands):</w:t>
      </w:r>
    </w:p>
    <w:tbl>
      <w:tblPr>
        <w:tblW w:w="5955" w:type="dxa"/>
        <w:jc w:val="left"/>
        <w:tblInd w:w="0" w:type="dxa"/>
        <w:tblLayout w:type="fixed"/>
        <w:tblCellMar>
          <w:top w:w="28" w:type="dxa"/>
          <w:left w:w="28" w:type="dxa"/>
          <w:bottom w:w="28" w:type="dxa"/>
          <w:right w:w="28" w:type="dxa"/>
        </w:tblCellMar>
      </w:tblPr>
      <w:tblGrid>
        <w:gridCol w:w="4711"/>
        <w:gridCol w:w="146"/>
        <w:gridCol w:w="211"/>
        <w:gridCol w:w="67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Trinity 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reconciles the change in fair value of the Trinity Term Loans during the three months ended June 30, 2026 (in thousands):</w:t>
      </w:r>
    </w:p>
    <w:tbl>
      <w:tblPr>
        <w:tblW w:w="5935" w:type="dxa"/>
        <w:jc w:val="left"/>
        <w:tblInd w:w="0" w:type="dxa"/>
        <w:tblLayout w:type="fixed"/>
        <w:tblCellMar>
          <w:top w:w="28" w:type="dxa"/>
          <w:left w:w="28" w:type="dxa"/>
          <w:bottom w:w="28" w:type="dxa"/>
          <w:right w:w="28" w:type="dxa"/>
        </w:tblCellMar>
      </w:tblPr>
      <w:tblGrid>
        <w:gridCol w:w="4711"/>
        <w:gridCol w:w="146"/>
        <w:gridCol w:w="211"/>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Trinity 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as of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recorded $1.4 million and $2.9 million, respectively, of interest expense within change in fair value of term loans, all of which was paid as of June 30, 2026. During the three and six months ended June 30, 2025, the Company recorded $1.3 million and $2.6 million, respectively, of interest expense within change in fair value of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Success Fees liability during the six months ended June 30, 2026 (in thousands):</w:t>
      </w:r>
    </w:p>
    <w:p>
      <w:pPr>
        <w:pStyle w:val="TextBody"/>
        <w:bidi w:val="0"/>
        <w:jc w:val="left"/>
        <w:rPr/>
      </w:pPr>
      <w:r>
        <w:rPr/>
        <w:t> </w:t>
      </w:r>
    </w:p>
    <w:tbl>
      <w:tblPr>
        <w:tblW w:w="5080" w:type="dxa"/>
        <w:jc w:val="left"/>
        <w:tblInd w:w="0" w:type="dxa"/>
        <w:tblLayout w:type="fixed"/>
        <w:tblCellMar>
          <w:top w:w="28" w:type="dxa"/>
          <w:left w:w="28" w:type="dxa"/>
          <w:bottom w:w="28" w:type="dxa"/>
          <w:right w:w="28" w:type="dxa"/>
        </w:tblCellMar>
      </w:tblPr>
      <w:tblGrid>
        <w:gridCol w:w="3961"/>
        <w:gridCol w:w="146"/>
        <w:gridCol w:w="211"/>
        <w:gridCol w:w="57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Success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Success Fees liability during the three months ended June 30, 2026 (in thousands):</w:t>
      </w:r>
    </w:p>
    <w:p>
      <w:pPr>
        <w:pStyle w:val="TextBody"/>
        <w:bidi w:val="0"/>
        <w:jc w:val="left"/>
        <w:rPr/>
      </w:pPr>
      <w:r>
        <w:rPr/>
        <w:t> </w:t>
      </w:r>
    </w:p>
    <w:tbl>
      <w:tblPr>
        <w:tblW w:w="5140" w:type="dxa"/>
        <w:jc w:val="left"/>
        <w:tblInd w:w="0" w:type="dxa"/>
        <w:tblLayout w:type="fixed"/>
        <w:tblCellMar>
          <w:top w:w="28" w:type="dxa"/>
          <w:left w:w="28" w:type="dxa"/>
          <w:bottom w:w="28" w:type="dxa"/>
          <w:right w:w="28" w:type="dxa"/>
        </w:tblCellMar>
      </w:tblPr>
      <w:tblGrid>
        <w:gridCol w:w="4021"/>
        <w:gridCol w:w="146"/>
        <w:gridCol w:w="211"/>
        <w:gridCol w:w="57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as of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Success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8—Research, Collaboration and License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UT Southwestern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the Company transferred rights to specific indications back to UT Southwestern.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Abeona Rett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2020, the Company entered into a license agreement (the “Abeona Rett Agreement”) with Abeona Therapeutics Inc.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the Company is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consolidated statements of operations for the year ended December 31, 2023. In December 2025, the Company dosed the first patient with TSHA-102 in the Phase 1/2 Part B REVEAL pivotal trial and therefore triggered a milestone payment in connection with the Abeona Rett Agreement. The Company recorded $3.0 million within research and development expenses in the consolidated statements of operations for the year ended December 31, 2025. This milestone fee was paid in January 2026 and was recorded as an investing cash outflow in the condensed consolidated statement of cash flows for the six months ended June 30, 2026. No additional milestone payments were made or triggered in connection with this agreement during the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16, 2020, the Company’s stockholders approved the 2020 Stock Incentive Plan (“New Plan”), which became effective upon the execution of the underwriting agreement in connection with the initial public offering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(the “New Plan Evergreen Provision”). Pursuant to this provision, on January 1, 2026, the Company increased the number of shares of common stock reserved for issuance under the New Plan by 14,252,582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2026, the Company increased the number of shares of common stock reserved for issuance under the ESPP by 724,000. The Company has issued an aggregate of 436,932 shares of common stock under the ESPP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On December 12, 2024, the Company reserved an additional 2,000,000 shares of the Company’s common stock for issuance under the Inducement Plan. On November 14, 2025, the Company reserved an additional 3,000,000 shares of the Company’s common stock for issuance under the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awards, restricted stock unit awards, stock appreciation rights, performance stock awards, performance cash awards or other stock-based awards).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number of shares available for grant under the Company’s incentive plans were as follows:</w:t>
      </w:r>
    </w:p>
    <w:tbl>
      <w:tblPr>
        <w:tblW w:w="9018" w:type="dxa"/>
        <w:jc w:val="left"/>
        <w:tblInd w:w="0" w:type="dxa"/>
        <w:tblLayout w:type="fixed"/>
        <w:tblCellMar>
          <w:top w:w="28" w:type="dxa"/>
          <w:left w:w="28" w:type="dxa"/>
          <w:bottom w:w="28" w:type="dxa"/>
          <w:right w:w="28" w:type="dxa"/>
        </w:tblCellMar>
      </w:tblPr>
      <w:tblGrid>
        <w:gridCol w:w="4276"/>
        <w:gridCol w:w="146"/>
        <w:gridCol w:w="146"/>
        <w:gridCol w:w="1036"/>
        <w:gridCol w:w="166"/>
        <w:gridCol w:w="146"/>
        <w:gridCol w:w="146"/>
        <w:gridCol w:w="991"/>
        <w:gridCol w:w="166"/>
        <w:gridCol w:w="146"/>
        <w:gridCol w:w="146"/>
        <w:gridCol w:w="1096"/>
        <w:gridCol w:w="4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net of reserve -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 adjustments and amendments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14,252,582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(11,034,979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3,484,767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 total of 731,684 shares of common stock under the New Plan and the Inducement Plan were awarded with a weighted-average grant date fair value per share of $4.38. For the six months ended June 30, 2026, a total of 3,401,944 shares of common stock under the New Plan and the Inducement Plan were awarded with a weighted-average grant date fair value per share of $3.85. The stock options vest over one to four years and have a ten-year contractual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assumptions were used to estimate the fair value of time-based vesting stock options that were granted during the three and six months ended June 30, 2026 and 2025:</w:t>
      </w:r>
    </w:p>
    <w:p>
      <w:pPr>
        <w:pStyle w:val="TextBody"/>
        <w:bidi w:val="0"/>
        <w:spacing w:before="120" w:after="283"/>
        <w:jc w:val="left"/>
        <w:rPr/>
      </w:pPr>
      <w:r>
        <w:rPr/>
        <w:t> </w:t>
      </w:r>
    </w:p>
    <w:tbl>
      <w:tblPr>
        <w:tblW w:w="7343" w:type="dxa"/>
        <w:jc w:val="left"/>
        <w:tblInd w:w="0" w:type="dxa"/>
        <w:tblLayout w:type="fixed"/>
        <w:tblCellMar>
          <w:top w:w="28" w:type="dxa"/>
          <w:left w:w="28" w:type="dxa"/>
          <w:bottom w:w="28" w:type="dxa"/>
          <w:right w:w="28" w:type="dxa"/>
        </w:tblCellMar>
      </w:tblPr>
      <w:tblGrid>
        <w:gridCol w:w="2131"/>
        <w:gridCol w:w="146"/>
        <w:gridCol w:w="201"/>
        <w:gridCol w:w="643"/>
        <w:gridCol w:w="374"/>
        <w:gridCol w:w="201"/>
        <w:gridCol w:w="201"/>
        <w:gridCol w:w="643"/>
        <w:gridCol w:w="271"/>
        <w:gridCol w:w="146"/>
        <w:gridCol w:w="184"/>
        <w:gridCol w:w="588"/>
        <w:gridCol w:w="342"/>
        <w:gridCol w:w="184"/>
        <w:gridCol w:w="184"/>
        <w:gridCol w:w="58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time-based vesting stock option activity during the six months ended June 30, 2026:</w:t>
      </w:r>
    </w:p>
    <w:tbl>
      <w:tblPr>
        <w:tblW w:w="8767" w:type="dxa"/>
        <w:jc w:val="left"/>
        <w:tblInd w:w="0" w:type="dxa"/>
        <w:tblLayout w:type="fixed"/>
        <w:tblCellMar>
          <w:top w:w="28" w:type="dxa"/>
          <w:left w:w="28" w:type="dxa"/>
          <w:bottom w:w="28" w:type="dxa"/>
          <w:right w:w="28" w:type="dxa"/>
        </w:tblCellMar>
      </w:tblPr>
      <w:tblGrid>
        <w:gridCol w:w="3106"/>
        <w:gridCol w:w="146"/>
        <w:gridCol w:w="146"/>
        <w:gridCol w:w="1036"/>
        <w:gridCol w:w="166"/>
        <w:gridCol w:w="146"/>
        <w:gridCol w:w="214"/>
        <w:gridCol w:w="582"/>
        <w:gridCol w:w="146"/>
        <w:gridCol w:w="146"/>
        <w:gridCol w:w="322"/>
        <w:gridCol w:w="803"/>
        <w:gridCol w:w="146"/>
        <w:gridCol w:w="146"/>
        <w:gridCol w:w="239"/>
        <w:gridCol w:w="886"/>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24,569,261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26,999,997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12,705,882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in the above table is calculated as the difference between the fair value of the Company’s common stock at the respective reporting date and the exercise price of the stock options. As of June 30, 2026, the total unrecognized compensation related to unvested time-based vesting stock option awards granted was $27.6 million, which the Company expects to recognize over a weighted-average period of approximately 2.8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During the six months ended June 30, 2026, 9,000 performance-based stock options were exercised. As of June 30, 2026, 48,281 of the shares subject to the performance-based options were vested and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hAnsi="Times New Roman"/>
          <w:i/>
          <w:color w:val="000000"/>
          <w:sz w:val="20"/>
        </w:rPr>
        <w:t>Compensation - Stock Compensation</w:t>
      </w:r>
      <w:r>
        <w:rPr>
          <w:rFonts w:ascii="Times New Roman" w:hAnsi="Times New Roman"/>
          <w:color w:val="000000"/>
          <w:sz w:val="20"/>
        </w:rPr>
        <w:t>. Total compensation cost is equal to the modification date fair value. The Modified Options have a grant date fair value per share of $1.28. The following assumptions were used to estimate the fair value of the Modified Options:</w:t>
      </w:r>
    </w:p>
    <w:p>
      <w:pPr>
        <w:pStyle w:val="TextBody"/>
        <w:bidi w:val="0"/>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Modified Options will vest over 3.0 years. The Company recognized stock-based compensation expense of less than $0.1 million and $0.1 million for the three and six months ended June 30, 2026, respectively, related to the Modified Options. As of June 30, 2026, the total unrecognized compensation expense related to the Modified Options was $0.1 million, which the Company expects to recognize over a weighted average period of approximately 0.5 years using the accelerated attribution method. During the six months ended June 30, 2026, 123,723 of the Modified Options were exercised and 12,402 were forfeited. As of June 30, 2026, 1,256,813 of the Modified Options were outstanding, of which 763,661 were vested.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Company issued 1,288,040 RSUs to participants under the Inducement Plan. For the six months ended June 30, 2026, the Company issued 7,633,035 RSUs to participants under the New Plan and the Inducement Plan. The RSUs are subject to a service-based vesting condition. The service-based RSUs vest in equal annual installments over one to four years. The Company at any time may accelerate the vesting of the RSUs. Such shares are not accounted for as outstanding until they vest.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adopted a mandatory sell-to-cover policy for tax withholdings on RSUs,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RSU activity for the six months ended June 30, 2026 was as follows:</w:t>
      </w:r>
    </w:p>
    <w:p>
      <w:pPr>
        <w:pStyle w:val="TextBody"/>
        <w:bidi w:val="0"/>
        <w:jc w:val="left"/>
        <w:rPr/>
      </w:pPr>
      <w:r>
        <w:rPr/>
        <w:t> </w:t>
      </w:r>
    </w:p>
    <w:tbl>
      <w:tblPr>
        <w:tblW w:w="5497" w:type="dxa"/>
        <w:jc w:val="left"/>
        <w:tblInd w:w="0" w:type="dxa"/>
        <w:tblLayout w:type="fixed"/>
        <w:tblCellMar>
          <w:top w:w="28" w:type="dxa"/>
          <w:left w:w="28" w:type="dxa"/>
          <w:bottom w:w="28" w:type="dxa"/>
          <w:right w:w="28" w:type="dxa"/>
        </w:tblCellMar>
      </w:tblPr>
      <w:tblGrid>
        <w:gridCol w:w="2521"/>
        <w:gridCol w:w="146"/>
        <w:gridCol w:w="146"/>
        <w:gridCol w:w="1036"/>
        <w:gridCol w:w="166"/>
        <w:gridCol w:w="146"/>
        <w:gridCol w:w="294"/>
        <w:gridCol w:w="65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11,497,931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total unrecognized compensation cost related to the unvested RSU's was $39.2 million which is expected to be amortized on a straight-line basis over a weighted-average period of approximately 3.3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Company issued 5,765,000 performance-based restricted stock units (“PSUs”) to employees under the New Plan that are eligible to vest upon the achievement of certain clinical and regulatory performance conditions. The grant date fair value of the PSUs was $17.3 million, which is expected to be recognized at a point in time when achievement of the underlying performance conditions is considered probable, using management’s best estimates, which consider the inherent risk and uncertainty regarding the future outcomes of the performance conditions. During the six months ended June 30, 2026, no compensation expense was recorded related to the PSUs as achievement of the performance conditions was not considered probable. During the six months ended June 30, 2026, 150,000 PSUs were forfeited. As of June 30, 2026, 5,615,000 of the PSUs were unvested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each of the three and six months ended June 30, 2026 and 2025, stock-based compensation expense related to the ESPP was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total stock-based compensation expense for the stock options, ESPP and RSUs recorded in the condensed consolidated statements of operations for the three and six months ended June 30, 2026 and 2025 (in thousands):</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3016"/>
        <w:gridCol w:w="346"/>
        <w:gridCol w:w="324"/>
        <w:gridCol w:w="877"/>
        <w:gridCol w:w="224"/>
        <w:gridCol w:w="224"/>
        <w:gridCol w:w="324"/>
        <w:gridCol w:w="877"/>
        <w:gridCol w:w="146"/>
        <w:gridCol w:w="146"/>
        <w:gridCol w:w="285"/>
        <w:gridCol w:w="915"/>
        <w:gridCol w:w="197"/>
        <w:gridCol w:w="197"/>
        <w:gridCol w:w="285"/>
        <w:gridCol w:w="773"/>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Pre-Funded Warrants Issued in June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24, 2026, the Company entered into the June 2026 Underwriting Agreement with the Underwriters to issue and sell 32,500,001 shares of common stock, and, in lieu of common stock to certain investors, pre-funded warrants to purchase 833,333 shares of common stock (the “June 2026 Pre-Funded Warrants”) in the June 2026 Offering. The offering price to the public was $6.00 per share of common stock and $5.999 per June 2026 Pre-Funded Warrant, which was the price to the public of each share of common stock sold in the June 2026 Offering, minus the $0.001 exercise price per June 2026 Pre-Funded Warrant. The Underwriters agreed to purchase the shares and the June 2026 Pre-Funded Warrants from the Company pursuant to the June 2026 Underwriting Agreement at a price of $5.64 per share and $5.639 per June 2026 Pre-Funded Warrant, respectively. The closing of the June 2026 Offering occurred on June 26, 2026; no additional June 2026 Pre-Funded Warrants were sold upon the exercise of the Underwriters’ option in June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Pre-Funded Warrants Issued in May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28, 2025, the Company entered into an underwriting agreement (the “May 2025 Underwriting Agreement”) with Jefferies LLC, BofA Securities, Inc., Piper Sandler &amp; Co. and Barclays Capital Inc. (the “May 2025 Underwriters”), to issue and sell 46,868,687 shares of common stock, and, in lieu of common stock to certain investors, pre-funded warrants to purchase 25,858,586 shares of common stock (the “May 2025 Pre-Funded Warrants”) in an underwritten public offering (the “May 2025 Offering”). The offering price to the public was $2.75 per share of common stock and $2.749 per May 2025 Pre-Funded Warrant, which was the price to the public of each share of common stock sold in the May 2025 Offering, minus the $0.001 exercise price per May 2025 Pre-Funded Warrant. The May 2025 Underwriters agreed to purchase the shares and the May 2025 Pre-Funded Warrants from the Company pursuant to the May 2025 Underwriting Agreement at a price of $2.585 per share and $2.584 per May 2025 Pre-Funded Warrant, respectively. The initial closing of the May 2025 Offering occurred on May 30, 2025; no additional May 2025 Pre-Funded Warrants were sold upon the exercise of the May 2025 Underwriters’ option in June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Pre-Funded Warrants Issued in June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26, 2024, the Company entered into an underwriting agreement (the “June 2024 Underwriting Agreement”) with Jefferies LLC and Goldman Sachs &amp; Co. LLC, as representatives of the several underwriters set forth therein (the “June 2024 Underwriters”), to issue and sell 14,361,113 shares of common stock, and, in lieu of common stock to certain investors, pre-funded warrants to purchase 18,972,221 shares of common stock (the “June 2024 Pre-Funded Warrants”) in an underwritten public offering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June 2024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Pre-Funded Warrants Issued in August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2023 Pre-Funded Warrant. 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9,615,000 of the 2023 Pre-Funded Warrants were exercised on a cashless basis in exchange for 9,607,145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series of pre-funded warrants described above has an initial exercise price per share of $0.001, subject to certain adjustments. The pre-funded warrants do not expire and may be exercised at any time until exercised in full, except that a holder will not be entitled to exercise any portion of any pre-funded warrant if, upon giving effect to such exercise, (i) the aggregate number of shares of the Company’s common stock beneficially owned by the holder (together with its affiliates) would exceed 4.99% or 9.99%, as applicable, of the number of shares of the Company’s common stock outstanding immediately prior to or after giving effect to the exercise, or (ii) the combined voting power of the Company’s securities beneficially owned by the holder (together with its affiliates) would exceed 4.99% or 9.99%, as applicable, of the combined voting power of all of the Company’s securities then outstanding, as such percentage ownership is determined in accordance with the terms of the applicable pre-funded warrants. A holder may increase or decrease such percentage to another percentage not in excess of 19.99% upon at least 61 days’ prior notice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each series of pre-funded warrants meets the criteria for equity classification at issuance and was recorded as a component of stockholders’ equity within additional paid-in capital.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SSI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the SSI Warrants did not meet the criteria for equity classification under the guidance of ASC 815 due to settlement provisions that permitted the holder to receive a variable number of shares in the event of a specified fundamental transaction as well as provisions that permitted the holder to participate in dividends. As the SSI Warrants did not meet the criteria for equity classification, the Company recorded the warrants as liabilities at their fair value. This liability was subject to remeasurement at each balance sheet date until the warrants were exercised and any change in fair value was recognized in the Company’s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all 316,667 of the SSI Warrants were exercised and the Company received proceeds of $0.2 million. After the SSI Warrants were exercised, the Company reclassified the warrant liability to additional paid-in capital as a component of stockholders’ equity. There were no outstanding liability classified warrants as of June 30, 2026 and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Note 11—Net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accordance with ASC 260, </w:t>
      </w:r>
      <w:r>
        <w:rPr>
          <w:rFonts w:ascii="Times New Roman" w:hAnsi="Times New Roman"/>
          <w:i/>
          <w:color w:val="000000"/>
          <w:sz w:val="20"/>
        </w:rPr>
        <w:t>Earnings Per Share</w:t>
      </w:r>
      <w:r>
        <w:rPr>
          <w:rFonts w:ascii="Times New Roman" w:hAnsi="Times New Roman"/>
          <w:color w:val="000000"/>
          <w:sz w:val="20"/>
        </w:rPr>
        <w:t>, shares issuable for little to no cash consideration should be included in the number of outstanding shares used to calculate basic loss per share as long as all conditions necessary for exercise are met. The 2023 Pre-Funded Warrants, the June 2024 Pre-Funded Warrants, the May 2025 Pre-Funded Warrants and the June 2026 Pre-Funded Warrants are therefore included as outstanding shares as of June 30, 2026 and 2025 to calculate the weighted average number of shares outstanding to calculate basic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the calculation of basic and diluted net loss per common share for the three and six months ended June 30, 2026 and 2025, respectively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to compute 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369,044,040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297,988,978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367,845,094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283,726,888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common stock equivalents outstanding as of June 30, 2026 and 2025, respectively, were excluded from the computation of diluted net loss per share attributable to common stockholders for the periods presented because including them would have been anti</w:t>
        <w:noBreakHyphen/>
        <w:t>dilutive:</w:t>
      </w:r>
    </w:p>
    <w:p>
      <w:pPr>
        <w:pStyle w:val="TextBody"/>
        <w:bidi w:val="0"/>
        <w:jc w:val="left"/>
        <w:rPr/>
      </w:pPr>
      <w:r>
        <w:rPr/>
        <w:t> </w:t>
      </w:r>
    </w:p>
    <w:tbl>
      <w:tblPr>
        <w:tblW w:w="4574" w:type="dxa"/>
        <w:jc w:val="left"/>
        <w:tblInd w:w="0" w:type="dxa"/>
        <w:tblLayout w:type="fixed"/>
        <w:tblCellMar>
          <w:top w:w="28" w:type="dxa"/>
          <w:left w:w="28" w:type="dxa"/>
          <w:bottom w:w="28" w:type="dxa"/>
          <w:right w:w="28" w:type="dxa"/>
        </w:tblCellMar>
      </w:tblPr>
      <w:tblGrid>
        <w:gridCol w:w="1381"/>
        <w:gridCol w:w="146"/>
        <w:gridCol w:w="146"/>
        <w:gridCol w:w="1036"/>
        <w:gridCol w:w="146"/>
        <w:gridCol w:w="146"/>
        <w:gridCol w:w="146"/>
        <w:gridCol w:w="1036"/>
        <w:gridCol w:w="3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11,497,931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6,271,178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SSI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39,309,869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31,836,297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were no material changes to either the nature or the amounts of the uncertain tax positions previously determined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OBBBA did not have a material impact on the Company’s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The Company records a liability when a particular contingency is probable and estimable.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formed a special litigation committee to investigate the claims and allegations in the amended complaint. On March 3, 2026, the special litigation committee moved to terminate the action, stating its conclusion that dismissal is in the best interest of the Company and its stockholders. On April 1, 2026, the lead plaintiff filed a response stating that he does not oppose the motion to terminate the action. The Company has not recorded a liability related to these lawsuits because, at this time, the Company is unable to reasonably estimate possible losses or gains or determine whether an unfavorable outcome is either probable or remote.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was neither a determination that the Company or any individuals had violated any law nor a charge of any wrongdoing. In June 2026, the SEC notified the Company and each of the named officers and directors that it was terminating the investigation and did not intend to recommend any enforcement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that contain a variety of indemnifications with its directors, officers, employees, licensors, suppliers and service providers. The Company’s maximum exposure under these arrangements is unknown at June 30, 2026. The Company does not anticipate recognizing any significant losses relating to these arrangements.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to the 401(k) retirement savings plan for the three months ended June 30, 2026 and 2025. The Company contributed $0.4 million and $0.3 million to the 401(k) retirement savings plan for the six months ended June 30,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severe monogenic diseases of the central nervous system.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 therapy segment derived revenue solely from the Astellas Agreements (see Note 6). The accounting policies of the gene therapy segment are the same as those described in the 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reviews significant segment expenses including direct program expenses and compensation expenses as part of the assessment of segment profit and loss. The measure of segment assets is reported on the balance sheet as total consolidated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significant segment expenses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623"/>
        <w:gridCol w:w="304"/>
        <w:gridCol w:w="276"/>
        <w:gridCol w:w="963"/>
        <w:gridCol w:w="321"/>
        <w:gridCol w:w="321"/>
        <w:gridCol w:w="276"/>
        <w:gridCol w:w="963"/>
        <w:gridCol w:w="304"/>
        <w:gridCol w:w="304"/>
        <w:gridCol w:w="269"/>
        <w:gridCol w:w="942"/>
        <w:gridCol w:w="314"/>
        <w:gridCol w:w="314"/>
        <w:gridCol w:w="269"/>
        <w:gridCol w:w="942"/>
        <w:gridCol w:w="500"/>
      </w:tblGrid>
      <w:tr>
        <w:trPr/>
        <w:tc>
          <w:tcPr>
            <w:tcW w:w="26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program expense</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Program expense</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21,871</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Consultants and contractors expense</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expense</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w:t>
            </w:r>
            <w:r>
              <w:rPr>
                <w:rFonts w:ascii="Times New Roman" w:hAnsi="Times New Roman"/>
                <w:color w:val="000000"/>
                <w:sz w:val="13"/>
              </w:rPr>
              <w:t>(a)</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net loss</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(46,639</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(26,882</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(89,049</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(48,411</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05"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 Other segment expense included in consolidated net loss includes interest income, depreciation, insurance, travel, software and subscription services, legal, professional and consulting expense, commercial readiness expense, rent and facilities expense, other general and administrative expense, net gain on lease termination, change in fair value of term loan, change in fair value of warrant liability and other expense.</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managements_discussion_and"/>
      <w:bookmarkEnd w:id="10"/>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2025 and the related Management’s Discussion and Analysis of Financial Condition and Results of Operations, included in our Annual Report on Form 10-K for the year ended December 31, 2025, or Annual Report, filed with the Securities and Exchange Commission, or the SEC, on March 19, 2026. Unless the context requires otherwise, references in this Quarterly Report on Form 10-Q to “we,” “us,” and “our” refer to Taysha Gene Therapies, Inc. together with its consolidated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jc w:val="left"/>
        <w:rPr>
          <w:rFonts w:ascii="Times New Roman" w:hAnsi="Times New Roman"/>
          <w:color w:val="000000"/>
          <w:sz w:val="20"/>
        </w:rPr>
      </w:pPr>
      <w:r>
        <w:rPr>
          <w:rFonts w:ascii="Times New Roman" w:hAnsi="Times New Roman"/>
          <w:color w:val="000000"/>
          <w:sz w:val="20"/>
        </w:rPr>
        <w:t>All brand names or trademarks appearing in this report are the property of their respective holders. Unless the context requires otherwise, references in this report to the “Company,” “we,” “us,” and “our” refer to Taysha Gene Therapies, Inc.</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evaluating TSHA-102 for the treatment of females with Rett syndrome in our REVEAL and ASPIRE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REVEAL Phase 1/2 Adolescent and Adult Trial, also known as Part A,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patients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and Canada. A total of six patients aged 6 to 8 years were treated with TSHA-102 in this study, and enrollment for this trial is also complete.</w:t>
      </w:r>
    </w:p>
    <w:p>
      <w:pPr>
        <w:pStyle w:val="TextBody"/>
        <w:bidi w:val="0"/>
        <w:spacing w:before="240" w:after="283"/>
        <w:jc w:val="left"/>
        <w:rPr>
          <w:rFonts w:ascii="Times New Roman" w:hAnsi="Times New Roman"/>
          <w:sz w:val="20"/>
        </w:rPr>
      </w:pPr>
      <w:r>
        <w:rPr>
          <w:rFonts w:ascii="Times New Roman" w:hAnsi="Times New Roman"/>
          <w:color w:val="000000"/>
          <w:sz w:val="20"/>
        </w:rPr>
        <w:t>We have completed dosing of the 12 patients aged 6 to 21 years in Part A of both REVEAL trials, which includes eight patients in cohort two (high dose, 1x10</w:t>
      </w:r>
      <w:r>
        <w:rPr>
          <w:rFonts w:ascii="Times New Roman" w:hAnsi="Times New Roman"/>
          <w:color w:val="000000"/>
          <w:sz w:val="13"/>
        </w:rPr>
        <w:t>15</w:t>
      </w:r>
      <w:r>
        <w:rPr>
          <w:rFonts w:ascii="Times New Roman" w:hAnsi="Times New Roman"/>
          <w:color w:val="000000"/>
          <w:sz w:val="20"/>
        </w:rPr>
        <w:t xml:space="preserve"> total vg) and four patients in cohort one (low dose, 5.7x10</w:t>
      </w:r>
      <w:r>
        <w:rPr>
          <w:rFonts w:ascii="Times New Roman" w:hAnsi="Times New Roman"/>
          <w:color w:val="000000"/>
          <w:sz w:val="13"/>
        </w:rPr>
        <w:t>14</w:t>
      </w:r>
      <w:r>
        <w:rPr>
          <w:rFonts w:ascii="Times New Roman" w:hAnsi="Times New Roman"/>
          <w:color w:val="000000"/>
          <w:sz w:val="20"/>
        </w:rPr>
        <w:t xml:space="preserve"> total vg).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i/>
          <w:color w:val="000000"/>
          <w:sz w:val="20"/>
        </w:rPr>
      </w:pPr>
      <w:r>
        <w:rPr>
          <w:rFonts w:ascii="Times New Roman" w:hAnsi="Times New Roman"/>
          <w:i/>
          <w:color w:val="000000"/>
          <w:sz w:val="20"/>
        </w:rPr>
        <w:t>Longer-Term Results from Part A of REVEAL Trials as of May 2026 Data Cutoff</w:t>
      </w:r>
    </w:p>
    <w:p>
      <w:pPr>
        <w:pStyle w:val="TextBody"/>
        <w:bidi w:val="0"/>
        <w:jc w:val="left"/>
        <w:rPr>
          <w:rFonts w:ascii="Times New Roman" w:hAnsi="Times New Roman"/>
          <w:color w:val="000000"/>
          <w:sz w:val="20"/>
        </w:rPr>
      </w:pPr>
      <w:r>
        <w:rPr>
          <w:rFonts w:ascii="Times New Roman" w:hAnsi="Times New Roman"/>
          <w:color w:val="000000"/>
          <w:sz w:val="20"/>
        </w:rPr>
        <w:t>Developmental milestones are defined as a functional gain of one or more of the 28 milestones defined in the natural history study. This is the primary evidence of efficacy that will support our planned BLA submission and the FDA’s review of efficacy in the REVEAL pivotal trial. In REVEAL Part A, developmental milestones were assessed by multiple independent raters through video-evidenced evaluation.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12 patients treated in REVEAL Part A ranged from 6 to 21 years of age at dosing, with post-treatment follow-up spanning 12 to 30 months. We enrolled patients across a broad spectrum of disease severity, as assessed by the Clinical Global Impression-Severity, or CGI-S, scale, a 7-point, clinician-rated assessment of illness severity ranging from 1 (normal/not at all ill) to 7 (among the most extremely ill). Baseline scores ranged from 4 to 6, reflecting moderately to severely ill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May 2026 data cutoff, 100% of the 12 patients in REVEAL Part A gained or regained ≥ one developmental milestone across the core functional domains of fine motor, gross motor and communication post-treatment with TSHA-102. These results were seen despite the broad range in age and disease severity, as depicted below:</w:t>
      </w:r>
    </w:p>
    <w:p>
      <w:pPr>
        <w:pStyle w:val="TextBody"/>
        <w:bidi w:val="0"/>
        <w:spacing w:before="240" w:after="283"/>
        <w:jc w:val="left"/>
        <w:rPr/>
      </w:pPr>
      <w:r>
        <w:rPr/>
        <w:drawing>
          <wp:inline distT="0" distB="0" distL="0" distR="0">
            <wp:extent cx="6858000" cy="2400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40030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color w:val="000000"/>
          <w:sz w:val="16"/>
        </w:rPr>
        <w:t>Based on May 2026 data cutoff (N=12). Developmental milestone gains and regains were assessed by multiple independent central raters through video evidence.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total of 31 developmental milestones were achieved across the 12 patients post-treatment, spanning the core functional domains of Rett syndrome of communication, fine motor, and gross motor function. These achievements represent the breadth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response demonstrated and reflect meaningful improvements in daily living that are important to caregivers, families, and clinicians. The milestones achieved are depicted below:</w:t>
      </w:r>
    </w:p>
    <w:p>
      <w:pPr>
        <w:pStyle w:val="TextBody"/>
        <w:bidi w:val="0"/>
        <w:spacing w:before="240" w:after="283"/>
        <w:jc w:val="center"/>
        <w:rPr/>
      </w:pPr>
      <w:r>
        <w:rPr/>
        <w:drawing>
          <wp:inline distT="0" distB="0" distL="0" distR="0">
            <wp:extent cx="6858000" cy="3076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07657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color w:val="000000"/>
          <w:sz w:val="17"/>
        </w:rPr>
        <w:t>Based on May 2026 data cutoff (N=12). Developmental milestone gains and regains were assessed by multiple independent central raters through video evidence.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patients achieved milestones as early as 3 months post-TSHA-102. These gains were persistent, and patients continued to accumulate additional milestones over time across all three core disease domains. The total number of developmental milestones achieved across the patients increased from 16 at 6 months to 27 at 12 months, representing a 69% increase, and to 31 at ≥12 months, representing a 94% increase. The majority of patients achieved multiple developmental milestones, with 75% of high-dose patients achieving two developmental milestones or more post-TSHA-102.</w:t>
      </w:r>
    </w:p>
    <w:p>
      <w:pPr>
        <w:pStyle w:val="TextBody"/>
        <w:bidi w:val="0"/>
        <w:spacing w:before="240" w:after="283"/>
        <w:jc w:val="left"/>
        <w:rPr/>
      </w:pPr>
      <w:r>
        <w:rPr/>
        <w:drawing>
          <wp:inline distT="0" distB="0" distL="0" distR="0">
            <wp:extent cx="6858000" cy="2876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28765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6"/>
        </w:rPr>
        <w:t>Based on May 2026 data cutoff (N=12). Developmental milestone gain and regains were assessed by multiple independent central rates though video evidence.</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*N=7 patients with data &gt;12 months post TSHA-102 and N=5 patients with 12-month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observed clinically meaningful skill gains and improvements in core disease characteristics beyond the 28 natural history-defined developmental milestones, which were assessed through rigorous video-evidenced evaluation and validated scales.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Together, the developmental milestones and additional skills and improvements reflect the totality of functional gains seen post-TSHA-102 that impact activities of daily living. At ≥12 months post-TSHA-102, a total of 310 functional gains were observed, translating to an average of 26 per patient. We believe these durable, multi-domain functional gains that accumulated over time reflect the broad functional impact of TSHA-102.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total functional gains seen post-TSHA-102 is depicted in the chart below:</w:t>
      </w:r>
    </w:p>
    <w:p>
      <w:pPr>
        <w:pStyle w:val="TextBody"/>
        <w:bidi w:val="0"/>
        <w:spacing w:before="240" w:after="283"/>
        <w:jc w:val="left"/>
        <w:rPr/>
      </w:pPr>
      <w:r>
        <w:rPr/>
        <w:drawing>
          <wp:inline distT="0" distB="0" distL="0" distR="0">
            <wp:extent cx="6858000" cy="2876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28765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Based on May 2026 data cutoff (N=12).</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16"/>
        </w:rPr>
        <w:t>Gain/regain of ≥1 of the 28 natural history-defined developmental milestones from the REVEAL pivotal trial primary endpoint.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16"/>
        </w:rPr>
        <w:t>Skill gains/improvements derived from MSEL-A, R-MBA and ORCA: N=8 patients with ORCA data, N=7 with MSEL-A data, and N=12 with R-MBA data.</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*N=7 patients with data &gt;12 months post-TSHA-102, N=5 patients with 12-month data.</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Improvements were also observed across multiple clinician-assessed outcome measures, including Revised Motor Behavior Assessment, or R-MBA, Clinician Global Impression – Improvement, or CGI-I, and CGI-S, all of which corroborated the functional gains demonstrated post-TSHA-102.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R-MBA demonstrated a consistent and robust treatment effect across all 12 patients at both 6- and 12-months post-TSHA-102. Mean change from baseline showed statistically significant improvement at both time points compared to natural history data, as depicted in the graph below, which suggests a reversal of the expected disease trajectory. The treatment effect demonstrated greater statistical separation from natural history at 12 months than at 6 months, as reflected by a lower p-value. Beyond 12 months, the treatment effect continued to increase, with a clear dose-dependent separation. At ≥18 months, high-dose patients achieved a mean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 of 15.7 points compared to 7.8 points in the low-dose cohort. We believe these results support the therapeutic potential of TSHA-102.</w:t>
      </w:r>
    </w:p>
    <w:p>
      <w:pPr>
        <w:pStyle w:val="TextBody"/>
        <w:bidi w:val="0"/>
        <w:spacing w:before="240" w:after="283"/>
        <w:jc w:val="center"/>
        <w:rPr/>
      </w:pPr>
      <w:r>
        <w:rPr/>
        <w:drawing>
          <wp:inline distT="0" distB="0" distL="0" distR="0">
            <wp:extent cx="6848475" cy="2781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48475" cy="278130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color w:val="000000"/>
          <w:sz w:val="16"/>
        </w:rPr>
        <w:t>Based on May 2026 data cutoff (N=12 at 6 and 12 months, N=7 at ≥18 months post-TSHA-102). Statistical analyses are based on May 2026 data cutoff (N=12).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16"/>
        </w:rPr>
        <w:t>R-MBA assessed in Rett syndrome NHS at ~6 and ~12 months; MBA natural history data converted to R-MBA; mean scores reported were calculated from baseline to 6 and 12 months: Accessed from International Rett Syndrome Foundation (IRSF). ClinicalTrials.gov: NCT02738281: a prospective cohort of individuals with a pathologic mutation in the MECP2 gene, commonly associated with RTT.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TSHA-102 drove early, sustained global improvement in CGI-I, with dose-dependent effects that deepened overtime, as summarized in the table below. 100% of the patients demonstrated an improved CGI-I score of 3 or less at multiple post-treatment assessments. Mean CGI-I scores in the high dose cohort were less than 3 at all assessments and improved overtime, reaching 1.7 in the high-dose cohort at 18 months post-treatment.</w:t>
      </w:r>
    </w:p>
    <w:p>
      <w:pPr>
        <w:pStyle w:val="TextBody"/>
        <w:bidi w:val="0"/>
        <w:jc w:val="left"/>
        <w:rPr/>
      </w:pPr>
      <w:r>
        <w:rPr/>
        <w:t> </w:t>
      </w:r>
    </w:p>
    <w:p>
      <w:pPr>
        <w:pStyle w:val="TextBody"/>
        <w:bidi w:val="0"/>
        <w:jc w:val="left"/>
        <w:rPr/>
      </w:pPr>
      <w:r>
        <w:rPr/>
        <w:drawing>
          <wp:inline distT="0" distB="0" distL="0" distR="0">
            <wp:extent cx="6858000" cy="2438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2438400"/>
                    </a:xfrm>
                    <a:prstGeom prst="rect">
                      <a:avLst/>
                    </a:prstGeom>
                  </pic:spPr>
                </pic:pic>
              </a:graphicData>
            </a:graphic>
          </wp:inline>
        </w:drawing>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May 2026 data cutoff (N=12). CGI-I average scores based on latest assessment for each patient.</w:t>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TSHA-102 demonstrated robust, clinically meaningful responses at both 6 and at 12 months and beyond across multiple key outcome measures. Importantly, we observed an 83% response rate at 6 months and a 100% response rate at 12 months, exceeding the FDA-aligned minimum threshold for the pivotal trial (33% response rate), which further bolsters our confidence in our pivotal trial 6-month interim analysis, in addition to total functional gains observed, R-MBA, CGI-I, and CGI-S data all demonstrating significant and consistent response at 6 months, 12 months and beyond. Further, the FDA has agreed that our clinical and final commercial manufacturing processes are considered comparable, which enables us to include REVEAL Part A data in our BLA to support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totality of evidence. We believe this alignment further supports the possibility of a BLA submission based on the pivotal trial interim analysis. The responses for both the high and low dose cohorts of Part A are summarized below:</w:t>
      </w:r>
    </w:p>
    <w:p>
      <w:pPr>
        <w:pStyle w:val="TextBody"/>
        <w:bidi w:val="0"/>
        <w:spacing w:before="0" w:after="120"/>
        <w:jc w:val="left"/>
        <w:rPr/>
      </w:pPr>
      <w:r>
        <w:rPr/>
        <w:drawing>
          <wp:inline distT="0" distB="0" distL="0" distR="0">
            <wp:extent cx="6858000" cy="2743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2743200"/>
                    </a:xfrm>
                    <a:prstGeom prst="rect">
                      <a:avLst/>
                    </a:prstGeom>
                  </pic:spPr>
                </pic:pic>
              </a:graphicData>
            </a:graphic>
          </wp:inline>
        </w:drawing>
      </w:r>
    </w:p>
    <w:p>
      <w:pPr>
        <w:pStyle w:val="TextBody"/>
        <w:bidi w:val="0"/>
        <w:jc w:val="left"/>
        <w:rPr>
          <w:rFonts w:ascii="Times New Roman" w:hAnsi="Times New Roman"/>
          <w:color w:val="000000"/>
          <w:sz w:val="16"/>
        </w:rPr>
      </w:pPr>
      <w:r>
        <w:rPr>
          <w:rFonts w:ascii="Times New Roman" w:hAnsi="Times New Roman"/>
          <w:color w:val="000000"/>
          <w:sz w:val="16"/>
        </w:rPr>
        <w:t>Based on May 2026 data cutoff (N=12).</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16"/>
        </w:rPr>
        <w:t>R-MBA mean score change post-TSHA-102 is relative to baseline; lower score=improvement from baseline.</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16"/>
        </w:rPr>
        <w:t>CGI-S=Clinical Global Impression-Severity: a clinician-assessed scale ranging from 1 to 7, assessing severity of illness.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As of August 2026, TSHA-102 was generally well tolerated with no severe treatment-related serious adverse events, or SAEs, or dose limiting toxicities, or DLTs, in all patients treated in the REVEAL Phase 1/2, pivotal and ASPIRE trials (n=33). In July 2026, one patient in the REVEAL pivotal trial experienced a single, moderate Grade 2 treatment-related event of peripheral sensory neuropathy, an expected AAV-associated risk, approximately six weeks post-TSHA-102. In accordance with the treating institution’s protocol, the patient was admitted overnight for management and observation, thus, resulting in the technical classification of the Grade 2 event as an SAE. The patient was discharged the following day, and importantly, rapidly demonstrated substantial recovery.</w:t>
      </w:r>
    </w:p>
    <w:p>
      <w:pPr>
        <w:pStyle w:val="TextBody"/>
        <w:bidi w:val="0"/>
        <w:spacing w:before="360" w:after="160"/>
        <w:jc w:val="left"/>
        <w:rPr>
          <w:rFonts w:ascii="Times New Roman" w:hAnsi="Times New Roman"/>
          <w:i/>
          <w:color w:val="000000"/>
          <w:sz w:val="20"/>
        </w:rPr>
      </w:pPr>
      <w:r>
        <w:rPr>
          <w:rFonts w:ascii="Times New Roman" w:hAnsi="Times New Roman"/>
          <w:i/>
          <w:color w:val="000000"/>
          <w:sz w:val="20"/>
        </w:rPr>
        <w:t>REVEAL Pivotal Trial</w:t>
      </w:r>
    </w:p>
    <w:p>
      <w:pPr>
        <w:pStyle w:val="TextBody"/>
        <w:bidi w:val="0"/>
        <w:jc w:val="left"/>
        <w:rPr>
          <w:rFonts w:ascii="Times New Roman" w:hAnsi="Times New Roman"/>
          <w:color w:val="000000"/>
          <w:sz w:val="20"/>
        </w:rPr>
      </w:pPr>
      <w:r>
        <w:rPr>
          <w:rFonts w:ascii="Times New Roman" w:hAnsi="Times New Roman"/>
          <w:color w:val="000000"/>
          <w:sz w:val="20"/>
        </w:rPr>
        <w:t>The TSHA-102 clinical development program is designed to support the potential future approval of TSHA-102 for a broad population of patients aged 2 years and older with Rett syndrome through an efficient and rigorously designed pathway. In close collaboration with the United States Food and Drug Administration, or FDA, we designed the TSHA-102 pivotal program so that efficacy data from the REVEAL pivotal trial in patients aged 6 to &lt;22 years who have reached developmental plateau can be used to represent patients aged 2 to &lt;6 years, while safety data in younger children are generated through the separate ASPIRE trial to support the potential for a broad label for TSHA-102.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REVEAL pivotal trial, also known as Part B, is a single-arm, open-label study evaluating the efficacy and safety of high dose TSHA-102 as a single lumbar intrathecal administration in females aged 6 to &lt;22 years with Rett syndrome due to MECP2 loss-of-function mutation, with each patient serving as their own control. The trial is taking place in the United States. The study enrolled females in the developmental plateau population of Rett syndrome; these patients have an exceedingly low likelihood (0% to &lt;6.7%) of gaining new or regaining developmental milestones that were lost after a defined number of years, based on our analysis of the National Institutes of Health, or NIH, -funded International Rett Syndrome Foundation’s natural history study data. The primary endpoint will assess response rate, defined as the percentage of patients who gain or regain at least one developmental milestone from a list of 28 natural-history defined milestones across the core functional domains of communication, fine motor and gross motor, following administration of TSHA-102. The response rate of 33% is the minimum threshold for success sufficient to reject the natural history established null hypothesis of 6.7%.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completed dosing of the 17 patients aged 6 to &lt;22 years in the overenrolled REVEAL pivotal trial, and enrollment for this trial is complete with a well-balanced age distribution across all pediatric, adolescent and adult patients dosed.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Standardized milestone assessments will be administered and captured on video at pre- and post-treatment timepoints, with determination of milestone gain/regain upon video-evidence review by independent, blinded central raters based on prespecified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definitions of achievement for each milestone. The interim analysis to support the planned and FDA-aligned BLA submission is expected to occur after all 17 patients complete six months of post-treatment follow-up. Subsequently, we plan to discuss data from the 6-month interim analysis and next steps toward the BLA submission pathway with the FDA, with topline data and regulatory feedback anticipated in the first half of 2027.</w:t>
      </w:r>
    </w:p>
    <w:p>
      <w:pPr>
        <w:pStyle w:val="TextBody"/>
        <w:bidi w:val="0"/>
        <w:spacing w:before="240" w:after="283"/>
        <w:jc w:val="left"/>
        <w:rPr>
          <w:rFonts w:ascii="Times New Roman" w:hAnsi="Times New Roman"/>
          <w:sz w:val="20"/>
        </w:rPr>
      </w:pPr>
      <w:r>
        <w:rPr>
          <w:rFonts w:ascii="Times New Roman" w:hAnsi="Times New Roman"/>
          <w:color w:val="000000"/>
          <w:sz w:val="20"/>
        </w:rPr>
        <w:t>We also obtained written alignment from the FDA on an extrapolation approach in a separate safety-focused study, which we refer to as the ASPIRE trial, and the data for inclusion in the planned BLA submission to enable potential broad labeling of TSHA-102 for patients aged ≥2 years with Rett syndrome. We have completed dosing of four patients aged 2 to &lt;4 years with Rett syndrome in the overenrolled ASPIRE trial to evaluate the safety and preliminary efficacy of a single intrathecal administration of high dose TSHA-102 (1x10</w:t>
      </w:r>
      <w:r>
        <w:rPr>
          <w:rFonts w:ascii="Times New Roman" w:hAnsi="Times New Roman"/>
          <w:color w:val="000000"/>
          <w:sz w:val="13"/>
        </w:rPr>
        <w:t>15</w:t>
      </w:r>
      <w:r>
        <w:rPr>
          <w:rFonts w:ascii="Times New Roman" w:hAnsi="Times New Roman"/>
          <w:color w:val="000000"/>
          <w:sz w:val="20"/>
        </w:rPr>
        <w:t xml:space="preserve"> total vg), scaled to account for the lower brain volume in 2 to &lt;4-year-olds. A minimum of three months of ASPIRE safety data will be included in the planned BLA submission, while efficacy in the 2 to &lt;6-year-old population will be extrapolated from data collected in the REVEAL pivotal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reached written alignment with the FDA on Chemistry, Manufacturing and Controls, or CMC, requirements to support a planned BLA submission for TSHA-102 following a Type C meeting. We further aligned with the FDA on our proposed comparability approach between TSHA-102 material derived from the clinical and final commercial manufacturing processes. The FDA agreed that this approach may support pooling data from the REVEAL Phase 1/2 trials with data from the ongoing REVEAL pivotal and ASPIRE trials for the planned BLA submission. The FDA also endorsed our proposed Process Performance Qualification, or PPQ, campaign strategy to support process validation for the BLA submission, including the stability data package, the potency assay strategy, and the execution of BLA-enabling PPQ lots using the commercial manufacturing process. We initiated our PPQ campaign in April 2026 and expect to complete the campaign in the fourth quarter of 2026. Initiating the PPQ campaign ensures our CMC activities remain aligned with our clinical development timelines for the planned BLA 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expanded our strategic manufacturing partnership with Catalent, Inc., or Catalent, for commercial supply of TSHA-102. We executed a commercial supply agreement for Catalent to manufacture TSHA-102. Under the terms of this expanded agreement, Catalent will be our primary commercial manufacturing partner for TSHA-102. Catalent will provide Good Manufacturing Practices, or GMP, manufacturing and commercial supply of TSHA-102 at its FDA-licensed commercial gene therapy facility in Harmans, Maryland following potential FDA approval. The agreement establishes a long-term commercial supply framework intended to support commercial launch and future demand. Catalent will leverage its experience across more than 90 gene therapy programs, including multiple commercial products at this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In February 2024, we received Innovative Licensing and Access Pathway, or ILAP, designation for TSHA-102 from the U.K. Medicines and Healthcare Products Regulatory Agency. The ILAP aims to facilitate patient access to novel treatments by accelerating time to market through opportunities for enhanced engagements with U.K. regulatory authorities and other stakeholders.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pStyle w:val="TextBody"/>
        <w:bidi w:val="0"/>
        <w:spacing w:before="120" w:after="283"/>
        <w:jc w:val="left"/>
        <w:rPr/>
      </w:pPr>
      <w:r>
        <w:rPr/>
        <w:drawing>
          <wp:inline distT="0" distB="0" distL="0" distR="0">
            <wp:extent cx="6858000" cy="1219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12192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June 30, 2026, we have funded our operations primarily through: (i) the sale of equity, raising an aggregate of $1,191.0 million of gross proceeds from our IPO and subsequent public and private offerings of common stock; (ii) pre-IPO private placements of our convertible preferred stock; (iii) our 2023 Trinity Term Loan Agreement (as defined below) and subsequently the 2025 Trinity Term Loan Agreement (as defined below); and (iv) the option agreement dated October 21, 2022, with Audentes Therapeutics, Inc. (d/b/a Astellas Gene Therapy) and the securities purchase agreement dated October 21, 22 with Astellas, or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13, 2023, or the 2023 Trinity Closing Date, we entered into a Loan and Security Agreement, or the 2023 Trinity Term Loan Agreement, by and among us, the lenders party thereto from time to time, or the Trinity Lenders, and Trinity Capital Inc., as administrative agent and collateral agent for the Trinity Lenders, or Trinity. The 2023 Trinity Term Loan Agreement provided for, on the 2023 Trinity Closing Date, $40.0 million aggregate principal amount of term loans, or, collectively, the 2023 Trinity Term Loans. We drew the 2023 Trinity Term Loans in full on the 2023 Trinity Closing Date. On August 7, 2025, we entered into the 2025 Trinity Term Loan Agreement (as defined below) with the 2025 Trinity Lenders (as defined below). We drew $50.0 million in term loans on the Trinity Refinance Date (as defined below). The existing 2023 Trinity Term Loan Agreement with the Trinity Lenders was terminated and the existing 2023 Trinity Term Loans were repaid in full concurrently with entry into the 2025 Trinity Term Loans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Our net losses were $89.0 million for the six months ended June 30, 2026. As of June 30, 2026, we had an accumulated deficit of $800.3 million. We expect to continue to incur significant expenses and operating losses for the foreseeable future. We anticipate that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clinical development of our product candidates and, if we determine to do so in the future, reprioritize the advancement of our preclinical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clinical trials of TSHA-102 and any other current and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scale up our clinical and regulatory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 with contract manufacturing organizations, or CMOs, for the manufacture of current Good Manufacturing Practice, or cGMP,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adapt our regulatory compliance efforts to incorporate requirements applicable to marketed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manufacturing quality control, regulatory, manufacturing and scientific and administrative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and other expenses in operating as a public company.</w:t>
      </w:r>
    </w:p>
    <w:p>
      <w:pPr>
        <w:pStyle w:val="TextBody"/>
        <w:bidi w:val="0"/>
        <w:spacing w:before="360" w:after="283"/>
        <w:jc w:val="left"/>
        <w:rPr>
          <w:rFonts w:ascii="Times New Roman" w:hAnsi="Times New Roman"/>
          <w:sz w:val="20"/>
        </w:rPr>
      </w:pP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Collaboration and License Agreement with The University of Texas Southwestern Medical Center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2019, we entered into the UT Southwestern Agreement with The Board of Regents of the University of Texas System on behalf of UT Southwestern, as amended in April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right of first refusal to negotiate for an exclusive license under certain additional patent rights and know-how of UT Southwestern. We are required to use commercially reasonable efforts to develop, obtain regulatory approval for, and commercialize at least one licensed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we transferred rights to specific indications back to UT Southwestern.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Abeona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our clinical trial application filing for TSHA-102 for the treatment of Rett Syndrome was approved by Health Canada and therefore triggered a regulatory milestone payment in connection with the Abeona Rett Agreement. We recorded a $1.0 million charge within research and development expenses in the consolidated statements of operations for the year ended December 31, 2022. In May 2023, we dosed the first patient with TSHA-102 in the Phase 1/2 REVEAL trial evaluating the safety and preliminary efficacy of TSHA-102 in adult patients with Rett syndrome and therefore triggered a milestone payment of $3.5 million in connection with the Abeona Rett Agreement. In December 2025, we dosed the first patient with TSHA-102 in the Phase 1/2 Part B REVEAL pivotal trial and therefore triggered a milestone payment of $3 million in connection with this agreement. This pivotal milestone fee was paid in January 2026. We recorded $3.0 million as an investing cash outflow in our condensed consolidated statement of cash flows for the six months ended June 30, 2026. No other milestone payments were made or triggered in connection with this agreement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six months ended June 30, 2025 was derived from the Astellas Transactions. We recognized revenue as research and development activities related to our Rett program were performed. Revenue related to the material rights associated with the Rett Option and the GAN Option were recognized at a point in time when the option was exercised or the option period expired. In September 2023, Astellas elected not to exercise the GAN Option, therefore we recognized revenue related to the GAN Option during the year ended December 31, 2023. In October 2025, Astellas elected not to exercise the Rett Option, therefore we recognized revenue related to the Rett Option during the year ended December 31, 2025. All revenue related to the Astellas Transactions was recognized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severance costs and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maintenance fees and milestone fees incurred in connection with various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consultants, contract research organizations, or CROs, investigative sites and consultants to conduct our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studies and clinical trials, including fees paid to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allocated expenses, which include direct and allocated expenses for rent, maintenance of facilities, insurance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begin commercialization activities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raise substantial additional capital in the future. Our clinical development costs are expected to increase significantly as we commence clinical trials. Our future expenses may vary significantly each period based on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CMOs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may increase in the near future. In addition, we expect to incur legal fees in connection with the shareholder derivative lawsuit against certain of our current and former directors in the Court of Chancery of the State of Delaware. See “Part I, Item 1, Note 13-Commitments and Contingencies” in this Quarterly Report on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consists primarily of dividends earned from our money market fund and interest income on our cash and cash equivalents and non-cash changes in the fair value of our warrant liability and the 2025 Trinity Term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p>
      <w:pPr>
        <w:pStyle w:val="TextBody"/>
        <w:bidi w:val="0"/>
        <w:spacing w:before="120" w:after="283"/>
        <w:jc w:val="left"/>
        <w:rPr/>
      </w:pPr>
      <w:r>
        <w:rPr/>
        <w:t> </w:t>
      </w:r>
    </w:p>
    <w:tbl>
      <w:tblPr>
        <w:tblW w:w="6936" w:type="dxa"/>
        <w:jc w:val="left"/>
        <w:tblInd w:w="0" w:type="dxa"/>
        <w:tblLayout w:type="fixed"/>
        <w:tblCellMar>
          <w:top w:w="28" w:type="dxa"/>
          <w:left w:w="28" w:type="dxa"/>
          <w:bottom w:w="28" w:type="dxa"/>
          <w:right w:w="28" w:type="dxa"/>
        </w:tblCellMar>
      </w:tblPr>
      <w:tblGrid>
        <w:gridCol w:w="3531"/>
        <w:gridCol w:w="146"/>
        <w:gridCol w:w="272"/>
        <w:gridCol w:w="951"/>
        <w:gridCol w:w="214"/>
        <w:gridCol w:w="188"/>
        <w:gridCol w:w="272"/>
        <w:gridCol w:w="95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zero for the three months ended June 30, 2026, compared to $2.0 million for the three months ended June 30, 2025. The revenue recorded for the three months ended June 30, 2025, was derived entirely from the Astellas Transactions as a result of Rett research and development activities performed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$38.6 million for the three months ended June 30, 2026, compared to $20.1 million for the three months ended June 30, 2025. The $18.5 million increase was primarily driven by BLA-enabling PPQ manufacturing initiatives performed during the three months ended June 30, 2026 and higher clinical expenses from the REVEAL Part A Phase 1/2, REVEAL Part B pivotal, and ASPIRE trials. Compensation expenses, including non-cash stock-based compensation, also increased as a result of additional research and development headcount.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$12.1 million for the three months ended June 30, 2026, compared to $8.6 million for the three months ended June 30, 2025. The increase of $3.5 million was primarily due to higher compensation expenses, including non-cash stock-based compensation expense, and increases in consulting and professional fees, including commercial launch-readiness initiatives.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Gain on Lease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gain on lease termination was $3.4 million for the three months ended June 30, 2026 due to the termination of the lease of our manufacturing facility in North Carolina. The net gain is comprised of a $8.7 million gain on lease termination related to the derecognition of the operating lease right-of use asset and corresponding lease liability, offset partially by both a loss on asset disposal of $4.0 million related to construction in progress leasehold improvements and third party broker commission of $1.3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liability was a non-cash loss totaling $0.3 million for the three months ended June 30, 2025 related to the SSI Warrants. In December 2025, all vested and outstanding liability classified warrants were exercised, therefore the change in fair value of warrant liability was zero for the three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elected the fair value option for the 2025 Trinity Term Loan and changes to fair value, other than changes that were directly attributed to instrument-specific credit risk, were recorded as a component of other income (expense). The change in fair value was $1.5 million of expense for each of the three months ended June 30, 2026 and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$2.3 million for the three months ended June 30, 2026 compared to $1.9 million for the three months ended June 30, 2025. The increase in income was attributable to higher dividends earned from our money market fund.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less than $0.1 million for each of the three months ended June 30, 2026 and 2025. No interest expense was recorded on the term loans for the three months ended June 30, 2026 and 2025 due to the election of the fair value option.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Operations for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(in thousands): </w:t>
      </w:r>
    </w:p>
    <w:p>
      <w:pPr>
        <w:pStyle w:val="TextBody"/>
        <w:bidi w:val="0"/>
        <w:jc w:val="left"/>
        <w:rPr/>
      </w:pPr>
      <w:r>
        <w:rPr/>
        <w:t> </w:t>
      </w:r>
    </w:p>
    <w:tbl>
      <w:tblPr>
        <w:tblW w:w="6666" w:type="dxa"/>
        <w:jc w:val="left"/>
        <w:tblInd w:w="0" w:type="dxa"/>
        <w:tblLayout w:type="fixed"/>
        <w:tblCellMar>
          <w:top w:w="28" w:type="dxa"/>
          <w:left w:w="28" w:type="dxa"/>
          <w:bottom w:w="28" w:type="dxa"/>
          <w:right w:w="28" w:type="dxa"/>
        </w:tblCellMar>
      </w:tblPr>
      <w:tblGrid>
        <w:gridCol w:w="3531"/>
        <w:gridCol w:w="146"/>
        <w:gridCol w:w="246"/>
        <w:gridCol w:w="861"/>
        <w:gridCol w:w="194"/>
        <w:gridCol w:w="170"/>
        <w:gridCol w:w="246"/>
        <w:gridCol w:w="86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(89,049</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zero for the six months ended June 30, 2026, compared to $4.3 million for the six months ended June 30, 2025. The revenue recorded for the six months ended June 30, 2025, was derived entirely from the Astellas Transactions as a result of Rett research and development activities performed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$72.4 million for the six months ended June 30, 2026, compared to $35.7 million for the six months ended June 30, 2025. The $36.7 million increase was primarily driven by BLA-enabling PPQ manufacturing initiatives performed during the six months ended June 30, 2026 and higher clinical expenses from the REVEAL Part A Phase 1/2, REVEAL Part B pivotal, and ASPIRE trials. Compensation expenses, including non-cash stock-based compensation, also increased as a result of additional research and development headcount.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$21.8 million for the six months ended June 30, 2026, compared to $16.8 million for the six months ended June 30, 2025. The increase of $5.0 million was primarily due to higher compensation expenses, including non-cash stock-based compensation expense, and increases in consulting and professional fees, including commercial launch-readiness initiatives.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Gain on Lease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gain on lease termination was $3.4 million for the six months ended June 30, 2026 due to the termination of the lease of our manufacturing facility in North Carolina. The net gain is comprised of a $8.7 million gain on lease termination related to the derecognition of the operating lease right-of use asset and corresponding lease liability, offset partially by both a loss on asset disposal of $4.0 million related to construction in progress leasehold improvements and third-party broker commissions of $1.3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liability was a non-cash loss totaling $0.2 million for the six months ended June 30, 2025 related to the SSI Warrants. In December 2025, all vested and outstanding liability classified warrants were exercised, therefore the change in fair value of warrant liability was zero for the six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elected the fair value option for the 2025 Trinity Term Loan and changes to fair value, other than changes that were directly attributed to instrument-specific credit risk, were recorded as a component of other income (expense). The change in fair value was $3.0 million of expense for each of the six months ended June 30, 2026 and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$4.9 million for the six months ended June 30, 2026 compared to $3.2 million for the six months ended June 30, 2025. The increase in income was attributable to higher dividends earned from our money market fund.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less than $0.1 million for each of the six months ended June 30, 2026 and 2025. No interest expense was recorded on the term loans for the six months ended June 30, 2026 and 2025 due to the election of the fair value option.</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As of June 30, 2026, we had cash and cash equivalents of $455.4 million. We have funded our operations primarily through equity financings, raising an aggregate of $1.19 billion in gross proceeds from equity financings, including from pre-IPO private placements of convertible preferred stock, our IPO, and subsequent sales of common stock in public and private securities offerings, proceeds from a warrant exercise, our term loans and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7, 2025, or the Trinity Refinance Date, we entered into a Loan and Security Agreement, or the 2025 Trinity Term Loan Agreement, by and among us, the lenders party thereto from time to time, or the 2025 Trinity Lenders, and Trinity Capital Inc., as administrative agent and collateral agent for the 2025 Trinity Lenders, or Trinity. The 2025 Trinity Term Loan Agreement provides for (i) on the Trinity Refinance Date, $50.0 million aggregate principal amount of term loans, or Tranche A (ii) from the Trinity Refinance Date until March 31, 2028 an additional $25.0 million term loan facility contingent on delivering evidence satisfactory to Trinity that we have submitted a BLA acceptance to the FDA for TSHA-102 in Rett Syndrome, or Tranche B, (iii) from the Trinity Refinance Date until March 31, 2029, an additional $25.0 million term loan facility contingent on delivering evidence satisfactory to Trinity that we have received BLA approval from the FDA for TSHA-102 in Rett Syndrome, or collectively, the 2025 Trinity Term Loans, and, together with the 2023 Trinity Term Loans, the Trinity Term Loans. We drew $50.0 million in term loans on the Trinity Refinance Date. The existing 2023 Trinity Term Loan Agreement was terminated and the existing 2023 Trinity Term Loans were repaid concurrently with entry into the 2025 Trinity Term Loan Agreement and the draw of Tranche A. 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 after which we are required to pay equal monthly installments of principal through August 1, 2030, or the New Maturity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we will pay to Trinity an end of term payment equal to 5.00% of the original principal amount of the 2025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2025 Trinity Term Loan Agreement, we entered into a Success Fee Agreement with Trinity which specifies the terms regarding a fee in the amount of $0.5 million plus 5% of the principal amount of the funded 2025 Trinity Term Loans under Tranche B, or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2025 Trinity Term Loan Agreement are secured by a perfected security interest in all of our assets except for certain customarily excluded property pursuant to the terms of the 2025 Trinity Term Loan Agreement. There are no financial covenants and no warrants associated with the 2025 Trinity Term Loan Agreement. The 2025 Trinity Term Loan Agreement contains various covenants that limit our ability to engage in specified types of transactions without the consent of Trinity and the 2025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paying cash dividends; and entering into certain transactions with our affiliates, in each case subject to customary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2023, we entered into a securities purchase agreement, or the SSI Securities Purchase Agreement, with two affiliates of SSI Strategy Holdings LLC, or SSI, named therein, or the SSI Investors, pursuant to which we issued and sold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The SSI Warrants issued in the SSI Private Placement provide that the holder of the SSI Warrants will not have the right to exercise any portion of its SSI Warrants until the achievement of certain clinical and regulatory milestones related to our clinical programs. Gross proceeds of the SSI Private Placement were $0.5 million. During the year ended December 31, 2025, SSI exercised all 316,667 vested and outstanding Warrant Shares. We received proceeds of $0.2 million upon exercise. There are no outstanding SSI Warrants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issued and sold 46,868,687 shares of our common stock and pre-funded warrants to purchase 25,858,586 shares of our common stock in an underwritten offering (the “May 2025 Offering”) at a price to the public of $2.75 per share of common stock and $2.749 per pre-funded warrant, the price to the public per share of common stock minus the $0.001 exercise price per pre-funded warrant. The underwriters purchased the shares and pre-funded warrants from us at a price of $2.585 per share and $2.584 per pre-funded warrant, respectively. The initial closing of the May 2025 Offering occurred on May 30, 2025. In addition, we granted the underwriters an option to purchase, for a period of 30 days, up to an additional 10,909,090 shares of our common stock, which the underwriters exercised in full on June 6, 2025. The total net proceeds received from the May 2025 Offering were $215.6 million after deducting underwriting discounts, commissions and other offering expenses payable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24, 2026, we entered into an underwriting agreement, or the June 2026 Underwriting Agreement, with Jefferies LLC and Goldman Sachs &amp; Co., LLC, as representatives of the several underwriters set forth therein, or collectively, the Underwriters, to issue and sell 32,500,001 shares of our common stock and, in lieu of common stock to certain investors, pre-funded warrants to purchase 833,333 shares of its common stock in an underwritten public offering. or the June 2026 Offering, pursuant to an effective shelf registration statement on Form S-3 and a related prospectus and prospectus supplement. The offering price to the public was $6.00 per share of common stock and $5.999 per pre-funded warrant, which was the price to the public of each share of common stock sold in the June 2026 Offering minus the $0.001 exercise price per pre-funded warrant. The Underwriters purchased the shares and the pre-funded warrants from us pursuant to the June 2026 Underwriting Agreement at a price of $5.64 per share and $5.639 per pre-funded warrant, respectively. The closing of the June 2026 Offering occurred on June 26, 2026. In addition, we granted the Underwriters an option to purchase, for a period of 30 days, up to an additional 5,000,000 shares of common stock, which the Underwriters exercised in full on June 26, 2026. The total net proceeds from the June 2026 Offering were approximately $215.6 million, including the proceeds from the Underwriter’s option, after deducting underwriting discounts and commissions and offering expenses payable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we entered into a Sales Agreement, or the Sales Agreement, with SVB Securities LLC and Wells Fargo Securities, LLC, or the Sales Agents, pursuant to which we may issue and sell, from time to time at our discretion, shares of our common stock having an aggregate offering price of up to $150.0 million. In March 2022, we amended the Sales Agreement to, among other things, include Goldman Sachs &amp; Co. LLC as an additional Sales Agent. In April 2022, we sold 2,000,000 shares of common stock pursuant to the Sales Agreement and received net proceeds of $11.6 million. On November 4, 2025, we and Leerink Partners LLC entered into an Amendment to the Sales Agreement pursuant to which the Sales Agreement was terminated solely with respect to Leerink Partners LLC. In addition, on November 4, 2025, we and Goldman Sachs &amp; Co. LLC and Wells Fargo Securities, LLC, as sales agents, or the Remaining Sales Agents, entered into an amendment to the Sales Agreement and, together with the Sales Agreement, or, the Amended Sales Agreement, to provide for an increase in the aggregate offering amount under the Sales Agreement, such that as of November 4, 2025, we may offer and sell shares of common stock having an aggregate offering price of up to $212.0 million under the Amended Sales Agreement. The material terms and conditions of the Sales Agreement otherwise remain unchanged. In November and December 2025, we sold 10,230,186 shares of common stock under the Amended Sales Agreement and received $48.4 million in net proceeds. Also on November 4, 2025, we filed a new shelf registration statement on Form S-3ASR in relation to the registration of common stock, preferred stock, debt securities, warrants and units or any combination thereof, which became effective automatically upon filing.</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have increased and expect to continue to increase our research and development and general and administrative expenses, particularly with respect to the Rett clinical trials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material cash requirements consisted of $9.8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$39.3 million in cancellable purchase obligations to manufacturing vendors, CROs and other clinical trial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existing cash and cash equivalents will enable us to fund our operating expenses and capital requirements into the second half of 2028.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progress, costs and results of discovery, preclinical development, laboratory testing and clinical trials for TSHA-102 and any current and future product candidates that we advance;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product candidates and technologies in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capabilities and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incurred in defending ourselves in any legal proceedings that we may be subject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may restrict our ability to operate. The 2025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a summary of our cash flows for the six months ended June 30, 2026 and 2025 (in thousands):</w:t>
      </w:r>
    </w:p>
    <w:tbl>
      <w:tblPr>
        <w:tblW w:w="7647" w:type="dxa"/>
        <w:jc w:val="left"/>
        <w:tblInd w:w="0" w:type="dxa"/>
        <w:tblLayout w:type="fixed"/>
        <w:tblCellMar>
          <w:top w:w="28" w:type="dxa"/>
          <w:left w:w="28" w:type="dxa"/>
          <w:bottom w:w="28" w:type="dxa"/>
          <w:right w:w="28" w:type="dxa"/>
        </w:tblCellMar>
      </w:tblPr>
      <w:tblGrid>
        <w:gridCol w:w="4636"/>
        <w:gridCol w:w="146"/>
        <w:gridCol w:w="244"/>
        <w:gridCol w:w="903"/>
        <w:gridCol w:w="192"/>
        <w:gridCol w:w="168"/>
        <w:gridCol w:w="244"/>
        <w:gridCol w:w="903"/>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217,366</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133,040</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our net cash used in operating activities of $81.3 million primarily consisted of a net loss of $89.0 million, primarily attributable to our spending on research and development expenses. The net loss of $89.0 million was partially offset by adjustments for non-cash items of $7.6 million. Non-cash adjustments are comprised of stock-based compensation expense of $11.4 million and other non-cash items of $1.4 million, net, partially offset by non-cash net gain on lease termination of $5.1 million. Additional cash provided by operating assets and liabilities of $0.1 million was primarily attributable to increases in accounts payable and partially offset by decreases in accrued expenses and other liabilities and increases in prepaid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our net cash used in operating activities of $42.2 million primarily consisted of a net loss of $48.4 million, primarily attributable to our spending on research and development expenses. The net loss of $48.4 million was partially offset by adjustments for non-cash items, primarily stock-based compensation expense of $6.5 million and other non-cash items of $2.1 million, net. Additional cash used in operating assets and liabilities of $2.3 million was primarily attributable to a decrease in deferred revenue of $4.3 million, partially offset by an increase in accounts payable of $3.9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investing activities used $3.0 million of cash primarily attributable to the regulatory milestone payment of $3.0 million paid to Abeona pursuant to the Abeona Rett Agreement. This milestone payment related to the first patient dosed with TSHA-102 in the Phase 1/2 Part B REVEAL pivotal trial that occurred in 2025 and was paid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investing activities used $0.3 million of cash primarily attributable to the purchase of lab equipment and computer equipment.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financing activities provided $217.4 million of cash, which is primarily attributable to the closing of the June 2026 Offering and proceeds from common stock issuances upon the exercise of stock options and the Employee Stock Purchase Plan, or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financing activities provided $216.2 million of cash, which is primarily attributable to the closing of the May 2025 Offering.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that require significant judgments and estimates are more fully described under the heading “Management’s Discussion and Analysis of Financial Condition and Results of Operations—Critical Accounting Policies and Significant Judgments and Estimates” in our Annual Report and in Note 2 to our audited consolidated financial statements contained in our Annual Report. There have been no significant changes to our critical accounting policies that require significant judgments and estimates from those disclosed in our Annual Report.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eligible to use the requirements of a “smaller reporting company,” as defined in the Securities Exchange Act of 1934, as amended, or the Exchange Act. We may take advantage of certain of the scaled disclosures available to smaller reporting companies and will be able to take advantage of these scaled disclosures for so long as (i) the market value of our shares held by non-affiliates is less than $250 million or (ii) our annual revenue was less than $100 million during the most recently completed fiscal year and the market value of our shares held by non-affiliates is less than $700 million.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June 30, 2026, our disclosure controls and procedures were effective to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and April 2024, we were named a nominal defendant in two putative stockholder derivative actions filed by our stockholders in the Court of Chancery of the State of Delaware. The lawsuits have since been consolidated and a lead plaintiff has been appointed. In October 2024, the lead plaintiff filed an amended complaint asserting claims relating to our August 2023 Private Placement against (i) certain of our current and former directors and officers for breach of fiduciary duty and unjust enrichment; and (ii) certain participants in our August 2023 Private Placement for aiding and abetting breach of fiduciary duty and unjust enrichment. The complaints seek an unspecified award of damages in our favor, plus pre-judgment and post-judgment interest, and an award to the plaintiffs for the costs and disbursement of the action, including fees for their attorneys and experts. Our board of directors formed a special litigation committee to investigate the claims and allegations in the amended complaint. On March 3, 2026, the special litigation committee moved to terminate the action, stating its conclusion that dismissal is in the best interests of our stockholders and us. On April 1, 2026, the lead plaintiff filed a response stating that he does not oppose the motion to terminate the action. We have not recorded a liability related to these lawsuits because, at this time, we are unable to reasonably estimate possible losses or gains or determine whether an unfavorable outcome is either probable or remote.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an investigation captioned In the Matter of Taysha Gene Therapies, Inc. (D-04192), Taysha and certain of its officers and directors received subpoenas in late 2024 from the United States Securities and Exchange Commission, or the SEC, for materials relating to Taysha’s August 2023 Private Placement and certain public offerings. Production of materials in response to the subpoenas was completed in April 2025. The SEC investigation was neither a determination that the Company or any individuals had violated any law nor a charge of any wrongdoing. In June 2026, the SEC notified us and each of the named officers and directors that it was terminating the investigation and did not intend to recommend any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additional legal or regulatory proceedings.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2025, filed with the Securities and Exchange Commission on March 19, 2026.</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on the Exhibit Index are either filed or furnished with this report or incorporated herein by reference. </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7"/>
        <w:gridCol w:w="146"/>
        <w:gridCol w:w="9232"/>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2" w:type="dxa"/>
            <w:tcBorders/>
            <w:vAlign w:val="center"/>
          </w:tcPr>
          <w:p>
            <w:pPr>
              <w:pStyle w:val="TableContents"/>
              <w:bidi w:val="0"/>
              <w:spacing w:before="0" w:after="283"/>
              <w:jc w:val="left"/>
              <w:rPr>
                <w:sz w:val="4"/>
                <w:szCs w:val="4"/>
              </w:rPr>
            </w:pPr>
            <w:r>
              <w:rPr>
                <w:sz w:val="4"/>
                <w:szCs w:val="4"/>
              </w:rPr>
            </w:r>
          </w:p>
        </w:tc>
      </w:tr>
      <w:tr>
        <w:trPr/>
        <w:tc>
          <w:tcPr>
            <w:tcW w:w="82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(incorporated by reference to Exhibit 3.4 to the Company’s Current Report on Form 8-K (File No. 001-39536), filed with the Securities and Exchange Commission on September 29, 2020).</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the Amended and Restated Certificate of Incorporation of (incorporated by reference to Exhibit 3.1 to the Company’s Current Report on Form 8-K (File No. 001-39536), filed with the Securities and Exchange Commission on November 15, 2023).</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to the Amended and Restated Certificate of Incorporation (incorporated by reference to Exhibit 3.1 to the Company’s Current Report on Form 8-K (File No. 001-39536), filed with the Securities and Exchange Commission on June 3, 2025).</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Pre-Funded Warrant to Purchase Common Stock (incorporated by reference to Exhibit 4.1 to the Company’s Current Report on Form 8-K (File No. 001-39536), filed with the Securities and Exchange Commission on June 26, 2026).</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951"/>
        <w:gridCol w:w="109"/>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Taysha Gene Therapies,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sha-ex31_1.htm"/>
      <w:bookmarkStart w:id="23" w:name="kstsha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Sean Nolan,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951"/>
        <w:gridCol w:w="109"/>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sha-ex31_2.htm"/>
      <w:bookmarkStart w:id="25" w:name="kstsha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Kamran Alam,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1951"/>
        <w:gridCol w:w="109"/>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tsha-ex32_1.htm"/>
      <w:bookmarkStart w:id="27" w:name="kstsha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951"/>
        <w:gridCol w:w="109"/>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tsha-ex32_2.htm"/>
      <w:bookmarkStart w:id="29" w:name="kstsha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1951"/>
        <w:gridCol w:w="109"/>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06310/000119312520257858/d78879dex31.htm" TargetMode="External"/><Relationship Id="rId11" Type="http://schemas.openxmlformats.org/officeDocument/2006/relationships/hyperlink" Target="https://www.sec.gov/Archives/edgar/data/1806310/000119312520247565/d938924dex34.htm" TargetMode="External"/><Relationship Id="rId12" Type="http://schemas.openxmlformats.org/officeDocument/2006/relationships/hyperlink" Target="https://www.sec.gov/Archives/edgar/data/1806310/000119312523277914/d941656dex31.htm" TargetMode="External"/><Relationship Id="rId13" Type="http://schemas.openxmlformats.org/officeDocument/2006/relationships/hyperlink" Target="https://www.sec.gov/Archives/edgar/data/1806310/000119312525133745/d843671dex31.htm" TargetMode="External"/><Relationship Id="rId14" Type="http://schemas.openxmlformats.org/officeDocument/2006/relationships/hyperlink" Target="https://www.sec.gov/Archives/edgar/data/1806310/000119312526282855/d121397dex4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29092</Words>
  <Characters>158337</Characters>
  <CharactersWithSpaces>188114</CharactersWithSpaces>
  <Paragraphs>5056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